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sz w:val="32"/>
          <w:szCs w:val="32"/>
        </w:rPr>
      </w:pPr>
      <w:r>
        <w:rPr>
          <w:rFonts w:hint="eastAsia" w:ascii="黑体" w:hAnsi="黑体" w:eastAsia="黑体"/>
          <w:sz w:val="32"/>
          <w:szCs w:val="32"/>
        </w:rPr>
        <w:t>附件</w:t>
      </w:r>
      <w:r>
        <w:rPr>
          <w:rFonts w:hint="eastAsia" w:ascii="黑体" w:hAnsi="黑体" w:eastAsia="黑体"/>
          <w:sz w:val="32"/>
          <w:szCs w:val="32"/>
          <w:lang w:val="en-US" w:eastAsia="zh-CN"/>
        </w:rPr>
        <w:t>2</w:t>
      </w:r>
      <w:bookmarkStart w:id="0" w:name="_GoBack"/>
      <w:bookmarkEnd w:id="0"/>
      <w:r>
        <w:rPr>
          <w:rFonts w:hint="eastAsia" w:ascii="黑体" w:hAnsi="黑体" w:eastAsia="黑体"/>
          <w:sz w:val="32"/>
          <w:szCs w:val="32"/>
        </w:rPr>
        <w:t>：</w:t>
      </w:r>
    </w:p>
    <w:p>
      <w:pPr>
        <w:spacing w:line="360" w:lineRule="auto"/>
        <w:jc w:val="center"/>
        <w:rPr>
          <w:rFonts w:ascii="华文中宋" w:hAnsi="华文中宋" w:eastAsia="华文中宋"/>
          <w:sz w:val="44"/>
          <w:szCs w:val="44"/>
        </w:rPr>
      </w:pPr>
      <w:r>
        <w:rPr>
          <w:rFonts w:hint="eastAsia" w:ascii="华文中宋" w:hAnsi="华文中宋" w:eastAsia="华文中宋"/>
          <w:sz w:val="44"/>
          <w:szCs w:val="44"/>
        </w:rPr>
        <w:t>《珠宝首饰评估程序指导意见</w:t>
      </w:r>
    </w:p>
    <w:p>
      <w:pPr>
        <w:spacing w:line="360" w:lineRule="auto"/>
        <w:jc w:val="center"/>
        <w:rPr>
          <w:rFonts w:ascii="华文中宋" w:hAnsi="华文中宋" w:eastAsia="华文中宋"/>
          <w:sz w:val="44"/>
          <w:szCs w:val="44"/>
        </w:rPr>
      </w:pPr>
      <w:r>
        <w:rPr>
          <w:rFonts w:hint="eastAsia" w:ascii="华文中宋" w:hAnsi="华文中宋" w:eastAsia="华文中宋"/>
          <w:sz w:val="44"/>
          <w:szCs w:val="44"/>
        </w:rPr>
        <w:t>（征求意见稿）》起草说明</w:t>
      </w:r>
    </w:p>
    <w:p>
      <w:pPr>
        <w:spacing w:line="360" w:lineRule="auto"/>
        <w:ind w:firstLine="640" w:firstLineChars="200"/>
        <w:rPr>
          <w:rFonts w:ascii="仿宋" w:hAnsi="仿宋" w:eastAsia="仿宋"/>
          <w:sz w:val="32"/>
          <w:szCs w:val="32"/>
        </w:rPr>
      </w:pPr>
    </w:p>
    <w:p>
      <w:pPr>
        <w:spacing w:line="360" w:lineRule="auto"/>
        <w:ind w:firstLine="640" w:firstLineChars="200"/>
        <w:rPr>
          <w:rFonts w:ascii="仿宋" w:hAnsi="仿宋" w:eastAsia="仿宋"/>
          <w:sz w:val="32"/>
          <w:szCs w:val="32"/>
        </w:rPr>
      </w:pPr>
      <w:r>
        <w:rPr>
          <w:rFonts w:hint="eastAsia" w:ascii="仿宋" w:hAnsi="仿宋" w:eastAsia="仿宋"/>
          <w:sz w:val="32"/>
          <w:szCs w:val="32"/>
        </w:rPr>
        <w:t>为便于评估机构和评估专业人员以及相关部门、人士理解《珠宝首饰评估程序指导意见（征求意见稿）》，现将有关起草情况说明如下。</w:t>
      </w:r>
    </w:p>
    <w:p>
      <w:pPr>
        <w:numPr>
          <w:ilvl w:val="0"/>
          <w:numId w:val="1"/>
        </w:numPr>
        <w:spacing w:before="156" w:beforeLines="50" w:after="156" w:afterLines="50" w:line="360" w:lineRule="auto"/>
        <w:ind w:firstLine="643" w:firstLineChars="200"/>
        <w:rPr>
          <w:rFonts w:ascii="仿宋" w:hAnsi="仿宋" w:eastAsia="仿宋"/>
          <w:b/>
          <w:sz w:val="32"/>
          <w:szCs w:val="32"/>
        </w:rPr>
      </w:pPr>
      <w:r>
        <w:rPr>
          <w:rFonts w:hint="eastAsia" w:ascii="仿宋" w:hAnsi="仿宋" w:eastAsia="仿宋"/>
          <w:b/>
          <w:sz w:val="32"/>
          <w:szCs w:val="32"/>
        </w:rPr>
        <w:t>制定《珠宝首饰评估程序指导意见》的必要性</w:t>
      </w:r>
    </w:p>
    <w:p>
      <w:pPr>
        <w:spacing w:line="360" w:lineRule="auto"/>
        <w:ind w:firstLine="640" w:firstLineChars="200"/>
        <w:rPr>
          <w:rFonts w:ascii="仿宋" w:hAnsi="仿宋" w:eastAsia="仿宋"/>
          <w:sz w:val="32"/>
          <w:szCs w:val="32"/>
        </w:rPr>
      </w:pPr>
      <w:r>
        <w:rPr>
          <w:rFonts w:hint="eastAsia" w:ascii="仿宋" w:hAnsi="仿宋" w:eastAsia="仿宋"/>
          <w:sz w:val="32"/>
          <w:szCs w:val="32"/>
        </w:rPr>
        <w:t>随着中国经济的快速发展和人民生活水平的提高，中国的珠宝企业也得到长足发展，并与资本市场产生了密集碰撞和融合。目前，国内A股市场的珠宝上市企业已有十数家。珠宝企业大多以实物资产为主，而珠宝实物资产单体价值较大，数量较多，流动性强，珠宝企业在上市、融资、重组、破产等经济活动中涉及珠宝评估的频次日益增多，尤其对大批量珠宝首饰的高效率评估需求较为急迫。因此，如何在评估程序上进一步规范和细化专业操作程序，是珠宝评估人面临的课题。伴随着经济活动的活跃，经济纠纷甚至法律纠纷日益增多，评估报告质量如何评判也日益提升到日程上来。为此，在现有资产评估准则体系下，在珠宝评估专业技术性实操层面，进一步规范评估程序，细化专业操作步骤，是一个值得研究的课题。</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对程序的规范既可以约束珠宝评估专业人员，又可以保护珠宝评估专业人员。同时，引导被服务方理性评价评估工作质量也十分必要，即从评估人员能否客观公正，是否勤勉尽责的角度评判，而非简单地将评估结论是否满意作为唯一标准。所以从专业技术的角度，有针对性地对珠宝评估程序进行系统、全面的行为梳理，并在行业内达成共识，有益于珠宝评估的良性发展。</w:t>
      </w:r>
    </w:p>
    <w:p>
      <w:pPr>
        <w:numPr>
          <w:ilvl w:val="0"/>
          <w:numId w:val="1"/>
        </w:numPr>
        <w:spacing w:before="156" w:beforeLines="50" w:after="156" w:afterLines="50" w:line="360" w:lineRule="auto"/>
        <w:ind w:firstLine="643" w:firstLineChars="200"/>
        <w:rPr>
          <w:rFonts w:ascii="仿宋" w:hAnsi="仿宋" w:eastAsia="仿宋"/>
          <w:b/>
          <w:sz w:val="32"/>
          <w:szCs w:val="32"/>
        </w:rPr>
      </w:pPr>
      <w:r>
        <w:rPr>
          <w:rFonts w:hint="eastAsia" w:ascii="仿宋" w:hAnsi="仿宋" w:eastAsia="仿宋"/>
          <w:b/>
          <w:sz w:val="32"/>
          <w:szCs w:val="32"/>
        </w:rPr>
        <w:t>国内外珠宝首饰的评估及相关规范发展</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珠宝评估具有一定的主观性，评估人员的道德素养和专业素质、实践经验决定了评估报告的质量。评估主体不同，其报告质量可谓天壤之别。但如何评判报告质量，是报告使用方和监管方的难题。评估结论是评估工作的核心成果，而合理、专业的评估程序是其支撑，可以有效协助评估报告质量评价。</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美国珠宝评估业形成于</w:t>
      </w:r>
      <w:r>
        <w:rPr>
          <w:rFonts w:ascii="仿宋" w:hAnsi="仿宋" w:eastAsia="仿宋"/>
          <w:sz w:val="32"/>
          <w:szCs w:val="32"/>
        </w:rPr>
        <w:t>20</w:t>
      </w:r>
      <w:r>
        <w:rPr>
          <w:rFonts w:hint="eastAsia" w:ascii="仿宋" w:hAnsi="仿宋" w:eastAsia="仿宋"/>
          <w:sz w:val="32"/>
          <w:szCs w:val="32"/>
        </w:rPr>
        <w:t>世纪</w:t>
      </w:r>
      <w:r>
        <w:rPr>
          <w:rFonts w:ascii="仿宋" w:hAnsi="仿宋" w:eastAsia="仿宋"/>
          <w:sz w:val="32"/>
          <w:szCs w:val="32"/>
        </w:rPr>
        <w:t>70</w:t>
      </w:r>
      <w:r>
        <w:rPr>
          <w:rFonts w:hint="eastAsia" w:ascii="仿宋" w:hAnsi="仿宋" w:eastAsia="仿宋"/>
          <w:sz w:val="32"/>
          <w:szCs w:val="32"/>
        </w:rPr>
        <w:t>年代，宝石投资、避税捐赠和易货交易的数量和规模都不断增加，从而对珠宝首饰资产评估的需求迅速扩大，促进珠宝首饰评估从动产评估中分离出来，形成独立的资产评估系列。美国评估师协会</w:t>
      </w:r>
      <w:r>
        <w:rPr>
          <w:rFonts w:ascii="仿宋" w:hAnsi="仿宋" w:eastAsia="仿宋"/>
          <w:sz w:val="32"/>
          <w:szCs w:val="32"/>
        </w:rPr>
        <w:t>1982</w:t>
      </w:r>
      <w:r>
        <w:rPr>
          <w:rFonts w:hint="eastAsia" w:ascii="仿宋" w:hAnsi="仿宋" w:eastAsia="仿宋"/>
          <w:sz w:val="32"/>
          <w:szCs w:val="32"/>
        </w:rPr>
        <w:t>年开设珠宝首饰评估课程，</w:t>
      </w:r>
      <w:r>
        <w:rPr>
          <w:rFonts w:ascii="仿宋" w:hAnsi="仿宋" w:eastAsia="仿宋"/>
          <w:sz w:val="32"/>
          <w:szCs w:val="32"/>
        </w:rPr>
        <w:t>1987</w:t>
      </w:r>
      <w:r>
        <w:rPr>
          <w:rFonts w:hint="eastAsia" w:ascii="仿宋" w:hAnsi="仿宋" w:eastAsia="仿宋"/>
          <w:sz w:val="32"/>
          <w:szCs w:val="32"/>
        </w:rPr>
        <w:t>年注册了美国政府认可的高级珠宝评估师资格，推动了珠宝评估业的发展。英国皇家特许测量师学会也设立了珠宝评估专业组别。珠宝首饰评估已成为国际资产评估六大系列之一。珠宝首饰评估也是我国资产评估的重要组成部分，是评估准则规范的重要领域。早在2003年1月，中国资产评估协会发布了《珠宝首饰评估指导意见》，珠宝评估有了专门执业标准。2009年12月，在总结近5年来珠宝评估理论和实践的基础上，中国资产评估协会对《珠宝首饰评估指导意见》进行了修订，发布了《资产评估准则——珠宝首饰》。</w:t>
      </w:r>
    </w:p>
    <w:p>
      <w:pPr>
        <w:numPr>
          <w:ilvl w:val="0"/>
          <w:numId w:val="1"/>
        </w:numPr>
        <w:spacing w:before="156" w:beforeLines="50" w:after="156" w:afterLines="50" w:line="360" w:lineRule="auto"/>
        <w:ind w:firstLine="643" w:firstLineChars="200"/>
        <w:rPr>
          <w:rFonts w:ascii="仿宋" w:hAnsi="仿宋" w:eastAsia="仿宋"/>
          <w:b/>
          <w:sz w:val="32"/>
          <w:szCs w:val="32"/>
        </w:rPr>
      </w:pPr>
      <w:r>
        <w:rPr>
          <w:rFonts w:hint="eastAsia" w:ascii="仿宋" w:hAnsi="仿宋" w:eastAsia="仿宋"/>
          <w:b/>
          <w:sz w:val="32"/>
          <w:szCs w:val="32"/>
        </w:rPr>
        <w:t>起草指导思想</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结合珠宝评估实践经验，综合国内外珠宝评估实际情况，在起草过程中确定了以下指导思想。</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（一）明确定位</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在评估准则体系中的层次定位于指导意见，对珠宝首饰评估程序提出具体指导性要求，突出技术性、实操性和对重要事项的规范。</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（二）借鉴已有研究成果</w:t>
      </w:r>
    </w:p>
    <w:p>
      <w:pPr>
        <w:spacing w:line="360" w:lineRule="auto"/>
        <w:ind w:firstLine="640" w:firstLineChars="200"/>
        <w:rPr>
          <w:rFonts w:ascii="仿宋" w:hAnsi="仿宋" w:eastAsia="仿宋"/>
          <w:sz w:val="32"/>
          <w:szCs w:val="32"/>
        </w:rPr>
      </w:pPr>
      <w:r>
        <w:rPr>
          <w:rFonts w:hint="eastAsia" w:ascii="仿宋" w:hAnsi="仿宋" w:eastAsia="仿宋"/>
          <w:sz w:val="32"/>
          <w:szCs w:val="32"/>
        </w:rPr>
        <w:t>本指导意见根据《资产评估法》、资产评估准则体系（特别是《资产评估执业准则——珠宝首饰》），现有珠宝名称、珠宝鉴定、珠宝品质分级等国家标准和要求，以及国内外相关文献资料，结合珠宝评估实践建立了准则框架。</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（三）总结已有实践经验</w:t>
      </w:r>
    </w:p>
    <w:p>
      <w:pPr>
        <w:spacing w:line="360" w:lineRule="auto"/>
        <w:ind w:firstLine="640" w:firstLineChars="200"/>
        <w:rPr>
          <w:rFonts w:ascii="仿宋" w:hAnsi="仿宋" w:eastAsia="仿宋"/>
          <w:sz w:val="32"/>
          <w:szCs w:val="32"/>
        </w:rPr>
      </w:pPr>
      <w:r>
        <w:rPr>
          <w:rFonts w:hint="eastAsia" w:ascii="仿宋" w:hAnsi="仿宋" w:eastAsia="仿宋"/>
          <w:sz w:val="32"/>
          <w:szCs w:val="32"/>
        </w:rPr>
        <w:t xml:space="preserve">本指导意见基于多年珠宝评估实践活动，广纳博取，从专业技术的角度，有针对性地对珠宝评估进行系统、全面的行为梳理，增强操作性，形成程式化规范。 </w:t>
      </w:r>
    </w:p>
    <w:p>
      <w:pPr>
        <w:spacing w:before="156" w:beforeLines="50" w:after="156" w:afterLines="50" w:line="360" w:lineRule="auto"/>
        <w:ind w:left="643"/>
        <w:rPr>
          <w:rFonts w:ascii="仿宋" w:hAnsi="仿宋" w:eastAsia="仿宋"/>
          <w:b/>
          <w:sz w:val="32"/>
          <w:szCs w:val="32"/>
        </w:rPr>
      </w:pPr>
      <w:r>
        <w:rPr>
          <w:rFonts w:hint="eastAsia" w:ascii="仿宋" w:hAnsi="仿宋" w:eastAsia="仿宋"/>
          <w:b/>
          <w:sz w:val="32"/>
          <w:szCs w:val="32"/>
        </w:rPr>
        <w:t>四、起草过程</w:t>
      </w:r>
    </w:p>
    <w:p>
      <w:pPr>
        <w:spacing w:line="360" w:lineRule="auto"/>
        <w:ind w:firstLine="640" w:firstLineChars="200"/>
        <w:rPr>
          <w:rFonts w:ascii="仿宋" w:hAnsi="仿宋" w:eastAsia="仿宋"/>
          <w:sz w:val="32"/>
          <w:szCs w:val="32"/>
        </w:rPr>
      </w:pPr>
      <w:r>
        <w:rPr>
          <w:rFonts w:hint="eastAsia" w:ascii="仿宋" w:hAnsi="仿宋" w:eastAsia="仿宋"/>
          <w:sz w:val="32"/>
          <w:szCs w:val="32"/>
        </w:rPr>
        <w:t>2016年11月，成立工作组，根据资产评估准则体系，结合珠宝评估实践，从专业技术的角度，规范珠宝评估程序，起草工作组讨论稿。</w:t>
      </w:r>
    </w:p>
    <w:p>
      <w:pPr>
        <w:spacing w:line="360" w:lineRule="auto"/>
        <w:ind w:firstLine="640" w:firstLineChars="200"/>
        <w:rPr>
          <w:rFonts w:ascii="仿宋" w:hAnsi="仿宋" w:eastAsia="仿宋"/>
          <w:sz w:val="32"/>
          <w:szCs w:val="32"/>
        </w:rPr>
      </w:pPr>
      <w:r>
        <w:rPr>
          <w:rFonts w:hint="eastAsia" w:ascii="仿宋" w:hAnsi="仿宋" w:eastAsia="仿宋"/>
          <w:sz w:val="32"/>
          <w:szCs w:val="32"/>
        </w:rPr>
        <w:t>2017年3月向全国珠宝玉石标准化技术委员会（TC298）委员征求意见。2017年5月，在上海珠宝展会期间就反馈意见及修改稿征询专家委员意见后，再次调整、修改和补充。2017年7月向全国珠宝玉石标准化技术委员会（TC298）委员第二次征求意见。</w:t>
      </w:r>
    </w:p>
    <w:p>
      <w:pPr>
        <w:spacing w:line="360" w:lineRule="auto"/>
        <w:ind w:firstLine="640" w:firstLineChars="200"/>
        <w:rPr>
          <w:rFonts w:ascii="仿宋" w:hAnsi="仿宋" w:eastAsia="仿宋"/>
          <w:sz w:val="32"/>
          <w:szCs w:val="32"/>
        </w:rPr>
      </w:pPr>
      <w:r>
        <w:rPr>
          <w:rFonts w:hint="eastAsia" w:ascii="仿宋" w:hAnsi="仿宋" w:eastAsia="仿宋"/>
          <w:sz w:val="32"/>
          <w:szCs w:val="32"/>
        </w:rPr>
        <w:t>2018年8月-9月，对云南、福建、广东、江苏、新疆、青海、香港等地市场进行了市场调研和专家走访，就珠宝玉石的评估及程序的规范交换意见。</w:t>
      </w:r>
    </w:p>
    <w:p>
      <w:pPr>
        <w:spacing w:line="360" w:lineRule="auto"/>
        <w:ind w:firstLine="640" w:firstLineChars="200"/>
        <w:rPr>
          <w:rFonts w:ascii="仿宋" w:hAnsi="仿宋" w:eastAsia="仿宋"/>
          <w:sz w:val="32"/>
          <w:szCs w:val="32"/>
        </w:rPr>
      </w:pPr>
      <w:r>
        <w:rPr>
          <w:rFonts w:ascii="仿宋" w:hAnsi="仿宋" w:eastAsia="仿宋"/>
          <w:sz w:val="32"/>
          <w:szCs w:val="32"/>
        </w:rPr>
        <w:t>2018</w:t>
      </w:r>
      <w:r>
        <w:rPr>
          <w:rFonts w:hint="eastAsia" w:ascii="仿宋" w:hAnsi="仿宋" w:eastAsia="仿宋"/>
          <w:sz w:val="32"/>
          <w:szCs w:val="32"/>
        </w:rPr>
        <w:t>年</w:t>
      </w:r>
      <w:r>
        <w:rPr>
          <w:rFonts w:ascii="仿宋" w:hAnsi="仿宋" w:eastAsia="仿宋"/>
          <w:sz w:val="32"/>
          <w:szCs w:val="32"/>
        </w:rPr>
        <w:t>12</w:t>
      </w:r>
      <w:r>
        <w:rPr>
          <w:rFonts w:hint="eastAsia" w:ascii="仿宋" w:hAnsi="仿宋" w:eastAsia="仿宋"/>
          <w:sz w:val="32"/>
          <w:szCs w:val="32"/>
        </w:rPr>
        <w:t>月</w:t>
      </w:r>
      <w:r>
        <w:rPr>
          <w:rFonts w:ascii="仿宋" w:hAnsi="仿宋" w:eastAsia="仿宋"/>
          <w:sz w:val="32"/>
          <w:szCs w:val="32"/>
        </w:rPr>
        <w:t>15</w:t>
      </w:r>
      <w:r>
        <w:rPr>
          <w:rFonts w:hint="eastAsia" w:ascii="仿宋" w:hAnsi="仿宋" w:eastAsia="仿宋"/>
          <w:sz w:val="32"/>
          <w:szCs w:val="32"/>
        </w:rPr>
        <w:t>日，来自自然资源部珠宝玉石首饰管理中心（国家珠宝玉石质量监督检验中心）、中国珠宝玉石首饰行业协会、中评协珠宝首饰艺术品评估专业委员会及国内各珠宝质检机构、评估机构、珠宝首饰企业、院校等相关各单位的专家审阅了《珠宝首饰评估程序指导意见》（讨论稿），提出了修改意见。</w:t>
      </w:r>
    </w:p>
    <w:p>
      <w:pPr>
        <w:spacing w:line="360" w:lineRule="auto"/>
        <w:ind w:firstLine="640" w:firstLineChars="200"/>
        <w:rPr>
          <w:rFonts w:ascii="仿宋" w:hAnsi="仿宋" w:eastAsia="仿宋"/>
          <w:sz w:val="32"/>
          <w:szCs w:val="32"/>
        </w:rPr>
      </w:pPr>
      <w:r>
        <w:rPr>
          <w:rFonts w:ascii="仿宋" w:hAnsi="仿宋" w:eastAsia="仿宋"/>
          <w:sz w:val="32"/>
          <w:szCs w:val="32"/>
        </w:rPr>
        <w:t>201</w:t>
      </w:r>
      <w:r>
        <w:rPr>
          <w:rFonts w:hint="eastAsia" w:ascii="仿宋" w:hAnsi="仿宋" w:eastAsia="仿宋"/>
          <w:sz w:val="32"/>
          <w:szCs w:val="32"/>
        </w:rPr>
        <w:t>9年4月4日，中国资产评估协会就《珠宝首饰评估程序指导意见》在北京召开专家讨论会，从整体结构框架、规范用词、细化操作性等方面提出了修改建议。项目组根据专家意见，反复推敲并结合实践工作的情况进行修改，形成《珠宝首饰评估程序指导意见（征求意见稿）》。</w:t>
      </w:r>
    </w:p>
    <w:p>
      <w:pPr>
        <w:spacing w:before="156" w:beforeLines="50" w:after="156" w:afterLines="50" w:line="360" w:lineRule="auto"/>
        <w:ind w:left="641"/>
        <w:rPr>
          <w:rFonts w:ascii="仿宋" w:hAnsi="仿宋" w:eastAsia="仿宋"/>
          <w:b/>
          <w:sz w:val="32"/>
          <w:szCs w:val="32"/>
        </w:rPr>
      </w:pPr>
      <w:r>
        <w:rPr>
          <w:rFonts w:hint="eastAsia" w:ascii="仿宋" w:hAnsi="仿宋" w:eastAsia="仿宋"/>
          <w:b/>
          <w:sz w:val="32"/>
          <w:szCs w:val="32"/>
        </w:rPr>
        <w:t>五、主要内容</w:t>
      </w:r>
    </w:p>
    <w:p>
      <w:pPr>
        <w:spacing w:line="360" w:lineRule="auto"/>
        <w:ind w:firstLine="640" w:firstLineChars="200"/>
        <w:rPr>
          <w:rFonts w:ascii="仿宋" w:hAnsi="仿宋" w:eastAsia="仿宋"/>
          <w:sz w:val="32"/>
          <w:szCs w:val="32"/>
        </w:rPr>
      </w:pPr>
      <w:r>
        <w:rPr>
          <w:rFonts w:hint="eastAsia" w:ascii="仿宋" w:hAnsi="仿宋" w:eastAsia="仿宋"/>
          <w:sz w:val="32"/>
          <w:szCs w:val="32"/>
        </w:rPr>
        <w:t>本《指导意见》包括“总则”、“基本遵循”、“评估对象”、“执行要求”、“附则”五章。</w:t>
      </w:r>
    </w:p>
    <w:p>
      <w:pPr>
        <w:spacing w:line="360" w:lineRule="auto"/>
        <w:ind w:firstLine="640" w:firstLineChars="200"/>
        <w:rPr>
          <w:rFonts w:ascii="仿宋" w:hAnsi="仿宋" w:eastAsia="仿宋"/>
          <w:sz w:val="32"/>
          <w:szCs w:val="32"/>
        </w:rPr>
      </w:pPr>
      <w:r>
        <w:rPr>
          <w:rFonts w:hint="eastAsia" w:ascii="仿宋" w:hAnsi="仿宋" w:eastAsia="仿宋"/>
          <w:sz w:val="32"/>
          <w:szCs w:val="32"/>
        </w:rPr>
        <w:t>“总则”明确了制定宗旨、制定依据、定义、使用范围及相关服务领域。</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“基本遵循”规定了出具珠宝评估报告的主体、评估机构及珠宝评估专业人员应当遵守职业道德准则，具备珠宝首饰的鉴定分级等的专业知识和能力、价值类型、评估假设和限制条件等内容。</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“评估对象”明确了评估对象可能是单体珠宝首饰或批量珠宝首饰，定义了批量珠宝首饰，及应当关注评估对象特点对评估业务的影响等内容。</w:t>
      </w:r>
    </w:p>
    <w:p>
      <w:pPr>
        <w:spacing w:line="360" w:lineRule="auto"/>
        <w:ind w:firstLine="640" w:firstLineChars="200"/>
        <w:rPr>
          <w:rFonts w:ascii="仿宋" w:hAnsi="仿宋" w:eastAsia="仿宋"/>
          <w:sz w:val="32"/>
          <w:szCs w:val="32"/>
        </w:rPr>
      </w:pPr>
      <w:r>
        <w:rPr>
          <w:rFonts w:hint="eastAsia" w:ascii="仿宋" w:hAnsi="仿宋" w:eastAsia="仿宋"/>
          <w:sz w:val="32"/>
          <w:szCs w:val="32"/>
        </w:rPr>
        <w:t>“执行要求”规定了执行珠宝首饰评估业务在履行评估工作程序过程中的具体技术性操作规范等内容。</w:t>
      </w:r>
    </w:p>
    <w:p>
      <w:pPr>
        <w:spacing w:before="156" w:beforeLines="50" w:after="156" w:afterLines="50" w:line="360" w:lineRule="auto"/>
        <w:ind w:left="641"/>
        <w:rPr>
          <w:rFonts w:ascii="仿宋" w:hAnsi="仿宋" w:eastAsia="仿宋"/>
          <w:b/>
          <w:sz w:val="32"/>
          <w:szCs w:val="32"/>
        </w:rPr>
      </w:pPr>
      <w:r>
        <w:rPr>
          <w:rFonts w:hint="eastAsia" w:ascii="仿宋" w:hAnsi="仿宋" w:eastAsia="仿宋"/>
          <w:b/>
          <w:sz w:val="32"/>
          <w:szCs w:val="32"/>
        </w:rPr>
        <w:t>六、重要内容介绍</w:t>
      </w:r>
    </w:p>
    <w:p>
      <w:pPr>
        <w:spacing w:line="360" w:lineRule="auto"/>
        <w:ind w:firstLine="640" w:firstLineChars="200"/>
        <w:rPr>
          <w:rFonts w:ascii="仿宋" w:hAnsi="仿宋" w:eastAsia="仿宋"/>
          <w:sz w:val="32"/>
          <w:szCs w:val="32"/>
        </w:rPr>
      </w:pPr>
      <w:r>
        <w:rPr>
          <w:rFonts w:hint="eastAsia" w:ascii="仿宋" w:hAnsi="仿宋" w:eastAsia="仿宋"/>
          <w:sz w:val="32"/>
          <w:szCs w:val="32"/>
        </w:rPr>
        <w:t>本指导意见针对珠宝首饰评估的特点，重点在于珠宝首饰评估技术性工作程序的规范。为便于理解相关内容，现将一些重要事项予以说明。</w:t>
      </w:r>
    </w:p>
    <w:p>
      <w:pPr>
        <w:numPr>
          <w:ilvl w:val="0"/>
          <w:numId w:val="2"/>
        </w:numPr>
        <w:spacing w:line="360" w:lineRule="auto"/>
        <w:ind w:firstLine="640" w:firstLineChars="200"/>
        <w:rPr>
          <w:rFonts w:ascii="仿宋" w:hAnsi="仿宋" w:eastAsia="仿宋"/>
          <w:sz w:val="32"/>
          <w:szCs w:val="32"/>
        </w:rPr>
      </w:pPr>
      <w:r>
        <w:rPr>
          <w:rFonts w:hint="eastAsia" w:ascii="仿宋" w:hAnsi="仿宋" w:eastAsia="仿宋"/>
          <w:sz w:val="32"/>
          <w:szCs w:val="32"/>
        </w:rPr>
        <w:t>评估对象是珠宝首饰实物资产，强调现场工作的重要性</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珠宝首饰评估业务中，评估对象应为合法拥有、合法流通、合法处置、依法裁定的珠宝首饰实物资产。珠宝评估专业人员应当关注评估对象的法律权属。</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强调现场工作的重要性，并非仅是核查数量，现场工作中应明确评估对象实物数量及状态、对评估对象进行鉴定及鉴定复核、品质分析、价值分析并描述。针对评估对象的多样性，结合实践经验，在附表中对不同种类珠宝首饰列举了描述的重点内容，增强了本《指导意见》的可操作性。</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（二）关于对珠宝评估专业人员的要求</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由于珠宝评估的专业性，要求开展珠宝首饰评估业务的资产评估机构及其珠宝评估专业人员，应当具备珠宝首饰评估专业知识和实践经验，能够胜任所执行的珠宝首饰鉴定评估业务。</w:t>
      </w:r>
    </w:p>
    <w:p>
      <w:pPr>
        <w:spacing w:line="360" w:lineRule="auto"/>
        <w:ind w:firstLine="640" w:firstLineChars="200"/>
        <w:rPr>
          <w:rFonts w:ascii="仿宋" w:hAnsi="仿宋" w:eastAsia="仿宋"/>
          <w:sz w:val="32"/>
          <w:szCs w:val="32"/>
        </w:rPr>
      </w:pPr>
      <w:r>
        <w:rPr>
          <w:rFonts w:ascii="仿宋" w:hAnsi="仿宋" w:eastAsia="仿宋"/>
          <w:sz w:val="32"/>
          <w:szCs w:val="32"/>
        </w:rPr>
        <w:t>珠宝首饰评估对象多样性的特点要求珠宝评估专业人员应当掌握不同种类珠宝的主要鉴定特征和</w:t>
      </w:r>
      <w:r>
        <w:rPr>
          <w:rFonts w:hint="eastAsia" w:ascii="仿宋" w:hAnsi="仿宋" w:eastAsia="仿宋"/>
          <w:sz w:val="32"/>
          <w:szCs w:val="32"/>
        </w:rPr>
        <w:t>鉴定方法；掌握不同种类珠宝玉石的品质评价要素和评价方法；掌握</w:t>
      </w:r>
      <w:r>
        <w:rPr>
          <w:rFonts w:ascii="仿宋" w:hAnsi="仿宋" w:eastAsia="仿宋"/>
          <w:sz w:val="32"/>
          <w:szCs w:val="32"/>
        </w:rPr>
        <w:t>珠宝首饰鉴定</w:t>
      </w:r>
      <w:r>
        <w:rPr>
          <w:rFonts w:hint="eastAsia" w:ascii="仿宋" w:hAnsi="仿宋" w:eastAsia="仿宋"/>
          <w:sz w:val="32"/>
          <w:szCs w:val="32"/>
        </w:rPr>
        <w:t>、分类和</w:t>
      </w:r>
      <w:r>
        <w:rPr>
          <w:rFonts w:ascii="仿宋" w:hAnsi="仿宋" w:eastAsia="仿宋"/>
          <w:sz w:val="32"/>
          <w:szCs w:val="32"/>
        </w:rPr>
        <w:t>分级的国家标准</w:t>
      </w:r>
      <w:r>
        <w:rPr>
          <w:rFonts w:hint="eastAsia" w:ascii="仿宋" w:hAnsi="仿宋" w:eastAsia="仿宋"/>
          <w:sz w:val="32"/>
          <w:szCs w:val="32"/>
        </w:rPr>
        <w:t>和法规</w:t>
      </w:r>
      <w:r>
        <w:rPr>
          <w:rFonts w:ascii="仿宋" w:hAnsi="仿宋" w:eastAsia="仿宋"/>
          <w:sz w:val="32"/>
          <w:szCs w:val="32"/>
        </w:rPr>
        <w:t>，熟悉相关的国际标准、行业标准以及地方标准、团体标准</w:t>
      </w:r>
      <w:r>
        <w:rPr>
          <w:rFonts w:hint="eastAsia" w:ascii="仿宋" w:hAnsi="仿宋" w:eastAsia="仿宋"/>
          <w:sz w:val="32"/>
          <w:szCs w:val="32"/>
        </w:rPr>
        <w:t>等</w:t>
      </w:r>
      <w:r>
        <w:rPr>
          <w:rFonts w:ascii="仿宋" w:hAnsi="仿宋" w:eastAsia="仿宋"/>
          <w:sz w:val="32"/>
          <w:szCs w:val="32"/>
        </w:rPr>
        <w:t>。</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（三）关于批量珠宝首饰评估</w:t>
      </w:r>
    </w:p>
    <w:p>
      <w:pPr>
        <w:spacing w:line="360" w:lineRule="auto"/>
        <w:ind w:firstLine="640" w:firstLineChars="200"/>
        <w:rPr>
          <w:rFonts w:ascii="仿宋" w:hAnsi="仿宋" w:eastAsia="仿宋"/>
          <w:sz w:val="32"/>
          <w:szCs w:val="32"/>
        </w:rPr>
      </w:pPr>
      <w:r>
        <w:rPr>
          <w:rFonts w:ascii="仿宋" w:hAnsi="仿宋" w:eastAsia="仿宋"/>
          <w:sz w:val="32"/>
          <w:szCs w:val="32"/>
        </w:rPr>
        <w:t>本指导意见首次提出批量珠宝首饰，并对批量珠宝首饰评估程序进行了规范。批量珠宝首饰是指各种类别、各种数量的珠宝首饰组合。批量珠宝首饰评估可以采用系统的、统一的参数。</w:t>
      </w:r>
    </w:p>
    <w:p>
      <w:pPr>
        <w:spacing w:line="360" w:lineRule="auto"/>
        <w:ind w:firstLine="640" w:firstLineChars="200"/>
        <w:rPr>
          <w:rFonts w:ascii="仿宋" w:hAnsi="仿宋" w:eastAsia="仿宋"/>
          <w:sz w:val="32"/>
          <w:szCs w:val="32"/>
        </w:rPr>
      </w:pPr>
      <w:r>
        <w:rPr>
          <w:rFonts w:hint="eastAsia" w:ascii="仿宋" w:hAnsi="仿宋" w:eastAsia="仿宋"/>
          <w:sz w:val="32"/>
          <w:szCs w:val="32"/>
        </w:rPr>
        <w:t>本指导意见基于珠宝评估实践活动，对批量珠宝首饰评估从核查、鉴定分类及描述记录、价值分析几个方面进行了操作层面的细化规范。对大批量珠宝首饰评估提供了高效的评估程序指导。</w:t>
      </w:r>
    </w:p>
    <w:p>
      <w:pPr>
        <w:spacing w:before="156" w:beforeLines="50" w:after="156" w:afterLines="50" w:line="360" w:lineRule="auto"/>
        <w:ind w:left="641"/>
        <w:rPr>
          <w:rFonts w:ascii="仿宋" w:hAnsi="仿宋" w:eastAsia="仿宋"/>
          <w:b/>
          <w:sz w:val="32"/>
          <w:szCs w:val="32"/>
        </w:rPr>
      </w:pPr>
      <w:r>
        <w:rPr>
          <w:rFonts w:hint="eastAsia" w:ascii="仿宋" w:hAnsi="仿宋" w:eastAsia="仿宋"/>
          <w:b/>
          <w:sz w:val="32"/>
          <w:szCs w:val="32"/>
        </w:rPr>
        <w:t>七、需要说明的问题</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如何从专业工作程序入手，提高珠宝评估质量，是本指导意见的重点。本指导意见凝结了起草专家的专业知识和多年的实践经验，充分考虑了珠宝评估的特殊性和专业性，对珠宝首饰评估程序进行了规范。</w:t>
      </w:r>
    </w:p>
    <w:p>
      <w:pPr>
        <w:spacing w:line="360" w:lineRule="auto"/>
        <w:ind w:firstLine="640" w:firstLineChars="200"/>
        <w:rPr>
          <w:rFonts w:ascii="仿宋" w:hAnsi="仿宋" w:eastAsia="仿宋"/>
          <w:b/>
          <w:sz w:val="32"/>
          <w:szCs w:val="32"/>
        </w:rPr>
      </w:pPr>
      <w:r>
        <w:rPr>
          <w:rFonts w:hint="eastAsia" w:ascii="仿宋" w:hAnsi="仿宋" w:eastAsia="仿宋"/>
          <w:sz w:val="32"/>
          <w:szCs w:val="32"/>
        </w:rPr>
        <w:t>但因玉石评估具有相当的复杂性，对评估人员的综合能力要求极高，仅有完备的程序，并不能简单推出结论的合理，容易以形式上的貌似合理掩盖其谬误。由此可见，还需要多方努力，共同探讨更多的行之有效的行业监管和规范化管理办法，共同推进珠宝评估事业的良性化发展。</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8D0FBB"/>
    <w:multiLevelType w:val="singleLevel"/>
    <w:tmpl w:val="928D0FBB"/>
    <w:lvl w:ilvl="0" w:tentative="0">
      <w:start w:val="1"/>
      <w:numFmt w:val="chineseCounting"/>
      <w:suff w:val="nothing"/>
      <w:lvlText w:val="%1、"/>
      <w:lvlJc w:val="left"/>
      <w:rPr>
        <w:rFonts w:hint="eastAsia"/>
      </w:rPr>
    </w:lvl>
  </w:abstractNum>
  <w:abstractNum w:abstractNumId="1">
    <w:nsid w:val="CDC3CC4A"/>
    <w:multiLevelType w:val="singleLevel"/>
    <w:tmpl w:val="CDC3CC4A"/>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D3A"/>
    <w:rsid w:val="0001168F"/>
    <w:rsid w:val="00020FDD"/>
    <w:rsid w:val="00022B52"/>
    <w:rsid w:val="00023F39"/>
    <w:rsid w:val="00041EB9"/>
    <w:rsid w:val="00043D87"/>
    <w:rsid w:val="00062B63"/>
    <w:rsid w:val="00062EFC"/>
    <w:rsid w:val="00066909"/>
    <w:rsid w:val="00072817"/>
    <w:rsid w:val="000A5538"/>
    <w:rsid w:val="000B0643"/>
    <w:rsid w:val="000B5DE9"/>
    <w:rsid w:val="000C4F51"/>
    <w:rsid w:val="000D4040"/>
    <w:rsid w:val="000D48BB"/>
    <w:rsid w:val="000E392E"/>
    <w:rsid w:val="000E78DE"/>
    <w:rsid w:val="00103441"/>
    <w:rsid w:val="001113DC"/>
    <w:rsid w:val="00123816"/>
    <w:rsid w:val="00123B92"/>
    <w:rsid w:val="00143107"/>
    <w:rsid w:val="0014439E"/>
    <w:rsid w:val="00144729"/>
    <w:rsid w:val="00144752"/>
    <w:rsid w:val="00145033"/>
    <w:rsid w:val="001758BB"/>
    <w:rsid w:val="00182F07"/>
    <w:rsid w:val="001857F1"/>
    <w:rsid w:val="00195D6C"/>
    <w:rsid w:val="001A0761"/>
    <w:rsid w:val="001A409D"/>
    <w:rsid w:val="001A6CC1"/>
    <w:rsid w:val="001F41CF"/>
    <w:rsid w:val="00204158"/>
    <w:rsid w:val="002110ED"/>
    <w:rsid w:val="00222D9A"/>
    <w:rsid w:val="0023006F"/>
    <w:rsid w:val="00235409"/>
    <w:rsid w:val="00245F3C"/>
    <w:rsid w:val="00252E27"/>
    <w:rsid w:val="002543BD"/>
    <w:rsid w:val="0025605C"/>
    <w:rsid w:val="00275FE7"/>
    <w:rsid w:val="00280F75"/>
    <w:rsid w:val="002844A2"/>
    <w:rsid w:val="002C43B8"/>
    <w:rsid w:val="003419FD"/>
    <w:rsid w:val="003548E4"/>
    <w:rsid w:val="00355705"/>
    <w:rsid w:val="00362C32"/>
    <w:rsid w:val="00363DE0"/>
    <w:rsid w:val="00372D2E"/>
    <w:rsid w:val="003737AB"/>
    <w:rsid w:val="0038599C"/>
    <w:rsid w:val="00395FE2"/>
    <w:rsid w:val="003A3F21"/>
    <w:rsid w:val="003B3675"/>
    <w:rsid w:val="003B4D00"/>
    <w:rsid w:val="003C20FB"/>
    <w:rsid w:val="003F421A"/>
    <w:rsid w:val="003F6E33"/>
    <w:rsid w:val="0044497C"/>
    <w:rsid w:val="00450E3D"/>
    <w:rsid w:val="00480ADE"/>
    <w:rsid w:val="00484EB7"/>
    <w:rsid w:val="00485055"/>
    <w:rsid w:val="00487FE9"/>
    <w:rsid w:val="004A154D"/>
    <w:rsid w:val="004A7B1C"/>
    <w:rsid w:val="004C29FB"/>
    <w:rsid w:val="004C4D4B"/>
    <w:rsid w:val="004D23A4"/>
    <w:rsid w:val="004E0942"/>
    <w:rsid w:val="004E0CC8"/>
    <w:rsid w:val="00514BFE"/>
    <w:rsid w:val="00547CE9"/>
    <w:rsid w:val="005717EE"/>
    <w:rsid w:val="00586F34"/>
    <w:rsid w:val="00591F3E"/>
    <w:rsid w:val="00592442"/>
    <w:rsid w:val="00593103"/>
    <w:rsid w:val="00596299"/>
    <w:rsid w:val="005A029A"/>
    <w:rsid w:val="005A4EA8"/>
    <w:rsid w:val="005B0960"/>
    <w:rsid w:val="005D58CE"/>
    <w:rsid w:val="005E0520"/>
    <w:rsid w:val="005F6C36"/>
    <w:rsid w:val="005F73F9"/>
    <w:rsid w:val="00603F2B"/>
    <w:rsid w:val="00616E0C"/>
    <w:rsid w:val="0063481F"/>
    <w:rsid w:val="00670395"/>
    <w:rsid w:val="00673C06"/>
    <w:rsid w:val="00676BD5"/>
    <w:rsid w:val="006C7E63"/>
    <w:rsid w:val="006D33E7"/>
    <w:rsid w:val="006E7245"/>
    <w:rsid w:val="006F48B0"/>
    <w:rsid w:val="0070151C"/>
    <w:rsid w:val="007030BF"/>
    <w:rsid w:val="00704DAA"/>
    <w:rsid w:val="00713425"/>
    <w:rsid w:val="00727378"/>
    <w:rsid w:val="00756F59"/>
    <w:rsid w:val="00760F0A"/>
    <w:rsid w:val="00763131"/>
    <w:rsid w:val="00783279"/>
    <w:rsid w:val="007876F5"/>
    <w:rsid w:val="00791781"/>
    <w:rsid w:val="007A2D24"/>
    <w:rsid w:val="007B360B"/>
    <w:rsid w:val="007E6B6A"/>
    <w:rsid w:val="007F6EFE"/>
    <w:rsid w:val="00805B77"/>
    <w:rsid w:val="00814803"/>
    <w:rsid w:val="00836996"/>
    <w:rsid w:val="00836EDD"/>
    <w:rsid w:val="00844FAD"/>
    <w:rsid w:val="0084798F"/>
    <w:rsid w:val="008669CE"/>
    <w:rsid w:val="00876D96"/>
    <w:rsid w:val="008917BF"/>
    <w:rsid w:val="008947C6"/>
    <w:rsid w:val="008A228A"/>
    <w:rsid w:val="008A70B6"/>
    <w:rsid w:val="008C494B"/>
    <w:rsid w:val="008C4A22"/>
    <w:rsid w:val="008D6BD7"/>
    <w:rsid w:val="008F15BA"/>
    <w:rsid w:val="008F550F"/>
    <w:rsid w:val="00903F85"/>
    <w:rsid w:val="00911268"/>
    <w:rsid w:val="00925AC1"/>
    <w:rsid w:val="00932E9E"/>
    <w:rsid w:val="00940006"/>
    <w:rsid w:val="00957F57"/>
    <w:rsid w:val="009A329D"/>
    <w:rsid w:val="009C371A"/>
    <w:rsid w:val="009F23E9"/>
    <w:rsid w:val="00A15F84"/>
    <w:rsid w:val="00A25CF0"/>
    <w:rsid w:val="00A343E5"/>
    <w:rsid w:val="00A46C1F"/>
    <w:rsid w:val="00A6489C"/>
    <w:rsid w:val="00A73184"/>
    <w:rsid w:val="00A74021"/>
    <w:rsid w:val="00A91E6B"/>
    <w:rsid w:val="00A978F9"/>
    <w:rsid w:val="00A97E64"/>
    <w:rsid w:val="00AB252E"/>
    <w:rsid w:val="00AC0E8C"/>
    <w:rsid w:val="00AE34AB"/>
    <w:rsid w:val="00AF2872"/>
    <w:rsid w:val="00AF7F88"/>
    <w:rsid w:val="00B005A3"/>
    <w:rsid w:val="00B00A6E"/>
    <w:rsid w:val="00B05586"/>
    <w:rsid w:val="00B20FCC"/>
    <w:rsid w:val="00B440C1"/>
    <w:rsid w:val="00B47EFE"/>
    <w:rsid w:val="00B51E74"/>
    <w:rsid w:val="00B53A16"/>
    <w:rsid w:val="00B645E2"/>
    <w:rsid w:val="00B74D2C"/>
    <w:rsid w:val="00B75B76"/>
    <w:rsid w:val="00B96C9D"/>
    <w:rsid w:val="00B97912"/>
    <w:rsid w:val="00BB744D"/>
    <w:rsid w:val="00BB771E"/>
    <w:rsid w:val="00BC2F60"/>
    <w:rsid w:val="00BD0AF2"/>
    <w:rsid w:val="00BD21CB"/>
    <w:rsid w:val="00BD3BDD"/>
    <w:rsid w:val="00BD4328"/>
    <w:rsid w:val="00BF2775"/>
    <w:rsid w:val="00BF6972"/>
    <w:rsid w:val="00C065D2"/>
    <w:rsid w:val="00C10FF1"/>
    <w:rsid w:val="00C231A3"/>
    <w:rsid w:val="00C42AC6"/>
    <w:rsid w:val="00C8556C"/>
    <w:rsid w:val="00C87757"/>
    <w:rsid w:val="00C909BF"/>
    <w:rsid w:val="00C939E4"/>
    <w:rsid w:val="00CA43E0"/>
    <w:rsid w:val="00CA7B85"/>
    <w:rsid w:val="00CB25DF"/>
    <w:rsid w:val="00CB552A"/>
    <w:rsid w:val="00CD2DBE"/>
    <w:rsid w:val="00CE3D74"/>
    <w:rsid w:val="00D34FAB"/>
    <w:rsid w:val="00D52B3F"/>
    <w:rsid w:val="00D535AC"/>
    <w:rsid w:val="00D700A3"/>
    <w:rsid w:val="00D7409A"/>
    <w:rsid w:val="00D84884"/>
    <w:rsid w:val="00DA2645"/>
    <w:rsid w:val="00DA4637"/>
    <w:rsid w:val="00DC2A1C"/>
    <w:rsid w:val="00DC36E3"/>
    <w:rsid w:val="00DC4277"/>
    <w:rsid w:val="00DC505A"/>
    <w:rsid w:val="00DC615E"/>
    <w:rsid w:val="00DE0C4D"/>
    <w:rsid w:val="00DE2181"/>
    <w:rsid w:val="00E03829"/>
    <w:rsid w:val="00E174F2"/>
    <w:rsid w:val="00E202C3"/>
    <w:rsid w:val="00E27155"/>
    <w:rsid w:val="00E35747"/>
    <w:rsid w:val="00E5401D"/>
    <w:rsid w:val="00E57D46"/>
    <w:rsid w:val="00E678BE"/>
    <w:rsid w:val="00E8609A"/>
    <w:rsid w:val="00E87A08"/>
    <w:rsid w:val="00E92BC2"/>
    <w:rsid w:val="00E93E7D"/>
    <w:rsid w:val="00EB5B79"/>
    <w:rsid w:val="00EB726B"/>
    <w:rsid w:val="00EB7D92"/>
    <w:rsid w:val="00EC4F48"/>
    <w:rsid w:val="00ED0786"/>
    <w:rsid w:val="00ED1846"/>
    <w:rsid w:val="00EE5BB1"/>
    <w:rsid w:val="00EF676F"/>
    <w:rsid w:val="00F02B96"/>
    <w:rsid w:val="00F046D3"/>
    <w:rsid w:val="00F34940"/>
    <w:rsid w:val="00F41B8C"/>
    <w:rsid w:val="00F600E5"/>
    <w:rsid w:val="00F71050"/>
    <w:rsid w:val="00F81D22"/>
    <w:rsid w:val="00F92416"/>
    <w:rsid w:val="00F936FE"/>
    <w:rsid w:val="00F94BC7"/>
    <w:rsid w:val="00F95400"/>
    <w:rsid w:val="00FA2A4D"/>
    <w:rsid w:val="00FA6988"/>
    <w:rsid w:val="00FC340A"/>
    <w:rsid w:val="00FC53FA"/>
    <w:rsid w:val="00FD3D3A"/>
    <w:rsid w:val="00FD6C95"/>
    <w:rsid w:val="00FF7359"/>
    <w:rsid w:val="0A287283"/>
    <w:rsid w:val="0DB36C81"/>
    <w:rsid w:val="11723931"/>
    <w:rsid w:val="17D75618"/>
    <w:rsid w:val="1F86291D"/>
    <w:rsid w:val="217804A9"/>
    <w:rsid w:val="32952A45"/>
    <w:rsid w:val="32DB1603"/>
    <w:rsid w:val="33B50483"/>
    <w:rsid w:val="33E848D6"/>
    <w:rsid w:val="39456DD0"/>
    <w:rsid w:val="3A7A1298"/>
    <w:rsid w:val="552D5773"/>
    <w:rsid w:val="57835DCE"/>
    <w:rsid w:val="59525A26"/>
    <w:rsid w:val="59F15324"/>
    <w:rsid w:val="676B7FB7"/>
    <w:rsid w:val="6843610C"/>
    <w:rsid w:val="74723565"/>
    <w:rsid w:val="77C47810"/>
    <w:rsid w:val="79F766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link w:val="25"/>
    <w:semiHidden/>
    <w:unhideWhenUsed/>
    <w:qFormat/>
    <w:uiPriority w:val="99"/>
    <w:pPr>
      <w:jc w:val="left"/>
    </w:pPr>
  </w:style>
  <w:style w:type="paragraph" w:styleId="4">
    <w:name w:val="Body Text"/>
    <w:basedOn w:val="1"/>
    <w:link w:val="16"/>
    <w:qFormat/>
    <w:uiPriority w:val="0"/>
    <w:pPr>
      <w:jc w:val="left"/>
      <w:outlineLvl w:val="0"/>
    </w:pPr>
    <w:rPr>
      <w:rFonts w:cs="Times New Roman" w:asciiTheme="minorEastAsia" w:hAnsiTheme="minorEastAsia"/>
      <w:sz w:val="28"/>
      <w:szCs w:val="28"/>
    </w:rPr>
  </w:style>
  <w:style w:type="paragraph" w:styleId="5">
    <w:name w:val="Body Text Indent"/>
    <w:basedOn w:val="1"/>
    <w:link w:val="18"/>
    <w:semiHidden/>
    <w:unhideWhenUsed/>
    <w:qFormat/>
    <w:uiPriority w:val="99"/>
    <w:pPr>
      <w:spacing w:after="120"/>
      <w:ind w:left="420" w:leftChars="200"/>
    </w:pPr>
  </w:style>
  <w:style w:type="paragraph" w:styleId="6">
    <w:name w:val="Balloon Text"/>
    <w:basedOn w:val="1"/>
    <w:link w:val="17"/>
    <w:semiHidden/>
    <w:unhideWhenUsed/>
    <w:qFormat/>
    <w:uiPriority w:val="99"/>
    <w:rPr>
      <w:sz w:val="18"/>
      <w:szCs w:val="18"/>
    </w:rPr>
  </w:style>
  <w:style w:type="paragraph" w:styleId="7">
    <w:name w:val="footer"/>
    <w:basedOn w:val="1"/>
    <w:link w:val="15"/>
    <w:unhideWhenUsed/>
    <w:qFormat/>
    <w:uiPriority w:val="99"/>
    <w:pPr>
      <w:tabs>
        <w:tab w:val="center" w:pos="4153"/>
        <w:tab w:val="right" w:pos="8306"/>
      </w:tabs>
      <w:snapToGrid w:val="0"/>
      <w:jc w:val="left"/>
    </w:pPr>
    <w:rPr>
      <w:sz w:val="18"/>
      <w:szCs w:val="18"/>
    </w:rPr>
  </w:style>
  <w:style w:type="paragraph" w:styleId="8">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annotation subject"/>
    <w:basedOn w:val="3"/>
    <w:next w:val="3"/>
    <w:link w:val="26"/>
    <w:semiHidden/>
    <w:unhideWhenUsed/>
    <w:qFormat/>
    <w:uiPriority w:val="99"/>
    <w:rPr>
      <w:b/>
      <w:bCs/>
    </w:rPr>
  </w:style>
  <w:style w:type="table" w:styleId="11">
    <w:name w:val="Table Grid"/>
    <w:basedOn w:val="10"/>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 w:type="character" w:styleId="13">
    <w:name w:val="annotation reference"/>
    <w:basedOn w:val="12"/>
    <w:semiHidden/>
    <w:unhideWhenUsed/>
    <w:uiPriority w:val="99"/>
    <w:rPr>
      <w:sz w:val="21"/>
      <w:szCs w:val="21"/>
    </w:rPr>
  </w:style>
  <w:style w:type="character" w:customStyle="1" w:styleId="14">
    <w:name w:val="页眉 Char"/>
    <w:basedOn w:val="12"/>
    <w:link w:val="8"/>
    <w:qFormat/>
    <w:uiPriority w:val="99"/>
    <w:rPr>
      <w:sz w:val="18"/>
      <w:szCs w:val="18"/>
    </w:rPr>
  </w:style>
  <w:style w:type="character" w:customStyle="1" w:styleId="15">
    <w:name w:val="页脚 Char"/>
    <w:basedOn w:val="12"/>
    <w:link w:val="7"/>
    <w:qFormat/>
    <w:uiPriority w:val="99"/>
    <w:rPr>
      <w:sz w:val="18"/>
      <w:szCs w:val="18"/>
    </w:rPr>
  </w:style>
  <w:style w:type="character" w:customStyle="1" w:styleId="16">
    <w:name w:val="正文文本 Char"/>
    <w:basedOn w:val="12"/>
    <w:link w:val="4"/>
    <w:qFormat/>
    <w:uiPriority w:val="0"/>
    <w:rPr>
      <w:rFonts w:cs="Times New Roman" w:asciiTheme="minorEastAsia" w:hAnsiTheme="minorEastAsia"/>
      <w:sz w:val="28"/>
      <w:szCs w:val="28"/>
    </w:rPr>
  </w:style>
  <w:style w:type="character" w:customStyle="1" w:styleId="17">
    <w:name w:val="批注框文本 Char"/>
    <w:basedOn w:val="12"/>
    <w:link w:val="6"/>
    <w:semiHidden/>
    <w:qFormat/>
    <w:uiPriority w:val="99"/>
    <w:rPr>
      <w:sz w:val="18"/>
      <w:szCs w:val="18"/>
    </w:rPr>
  </w:style>
  <w:style w:type="character" w:customStyle="1" w:styleId="18">
    <w:name w:val="正文文本缩进 Char"/>
    <w:basedOn w:val="12"/>
    <w:link w:val="5"/>
    <w:semiHidden/>
    <w:qFormat/>
    <w:uiPriority w:val="99"/>
  </w:style>
  <w:style w:type="character" w:customStyle="1" w:styleId="19">
    <w:name w:val="段 Char"/>
    <w:basedOn w:val="12"/>
    <w:link w:val="20"/>
    <w:qFormat/>
    <w:uiPriority w:val="0"/>
    <w:rPr>
      <w:rFonts w:hint="eastAsia" w:ascii="宋体" w:hAnsi="Times New Roman" w:eastAsia="宋体" w:cs="Times New Roman"/>
      <w:kern w:val="0"/>
      <w:szCs w:val="20"/>
    </w:rPr>
  </w:style>
  <w:style w:type="paragraph" w:customStyle="1" w:styleId="20">
    <w:name w:val="段"/>
    <w:basedOn w:val="1"/>
    <w:link w:val="19"/>
    <w:qFormat/>
    <w:uiPriority w:val="0"/>
    <w:pPr>
      <w:widowControl/>
      <w:tabs>
        <w:tab w:val="center" w:pos="4201"/>
        <w:tab w:val="right" w:leader="dot" w:pos="9298"/>
      </w:tabs>
      <w:autoSpaceDE w:val="0"/>
      <w:autoSpaceDN w:val="0"/>
      <w:ind w:firstLine="420" w:firstLineChars="200"/>
    </w:pPr>
    <w:rPr>
      <w:rFonts w:hint="eastAsia" w:ascii="宋体" w:hAnsi="Times New Roman" w:eastAsia="宋体" w:cs="Times New Roman"/>
      <w:kern w:val="0"/>
      <w:szCs w:val="20"/>
    </w:rPr>
  </w:style>
  <w:style w:type="paragraph" w:customStyle="1" w:styleId="21">
    <w:name w:val="正文1"/>
    <w:qFormat/>
    <w:uiPriority w:val="0"/>
    <w:pPr>
      <w:jc w:val="both"/>
    </w:pPr>
    <w:rPr>
      <w:rFonts w:ascii="Calibri" w:hAnsi="Calibri" w:eastAsia="宋体" w:cs="Calibri"/>
      <w:kern w:val="2"/>
      <w:sz w:val="21"/>
      <w:szCs w:val="21"/>
      <w:lang w:val="en-US" w:eastAsia="zh-CN" w:bidi="ar-SA"/>
    </w:rPr>
  </w:style>
  <w:style w:type="paragraph" w:styleId="22">
    <w:name w:val="List Paragraph"/>
    <w:basedOn w:val="1"/>
    <w:qFormat/>
    <w:uiPriority w:val="34"/>
    <w:pPr>
      <w:ind w:firstLine="420" w:firstLineChars="200"/>
    </w:pPr>
  </w:style>
  <w:style w:type="paragraph" w:customStyle="1" w:styleId="23">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4">
    <w:name w:val="标题 1 Char"/>
    <w:basedOn w:val="12"/>
    <w:link w:val="2"/>
    <w:qFormat/>
    <w:uiPriority w:val="9"/>
    <w:rPr>
      <w:rFonts w:asciiTheme="minorHAnsi" w:hAnsiTheme="minorHAnsi" w:eastAsiaTheme="minorEastAsia" w:cstheme="minorBidi"/>
      <w:b/>
      <w:bCs/>
      <w:kern w:val="44"/>
      <w:sz w:val="44"/>
      <w:szCs w:val="44"/>
    </w:rPr>
  </w:style>
  <w:style w:type="character" w:customStyle="1" w:styleId="25">
    <w:name w:val="批注文字 Char"/>
    <w:basedOn w:val="12"/>
    <w:link w:val="3"/>
    <w:semiHidden/>
    <w:qFormat/>
    <w:uiPriority w:val="99"/>
    <w:rPr>
      <w:rFonts w:asciiTheme="minorHAnsi" w:hAnsiTheme="minorHAnsi" w:eastAsiaTheme="minorEastAsia" w:cstheme="minorBidi"/>
      <w:kern w:val="2"/>
      <w:sz w:val="21"/>
      <w:szCs w:val="22"/>
    </w:rPr>
  </w:style>
  <w:style w:type="character" w:customStyle="1" w:styleId="26">
    <w:name w:val="批注主题 Char"/>
    <w:basedOn w:val="25"/>
    <w:link w:val="9"/>
    <w:semiHidden/>
    <w:qFormat/>
    <w:uiPriority w:val="99"/>
    <w:rPr>
      <w:rFonts w:asciiTheme="minorHAnsi" w:hAnsiTheme="minorHAnsi" w:eastAsiaTheme="minorEastAsia" w:cstheme="minorBidi"/>
      <w:b/>
      <w:bCs/>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AD171E-CF7F-4472-968C-367A1E4073D7}">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469</Words>
  <Characters>2677</Characters>
  <Lines>22</Lines>
  <Paragraphs>6</Paragraphs>
  <TotalTime>3</TotalTime>
  <ScaleCrop>false</ScaleCrop>
  <LinksUpToDate>false</LinksUpToDate>
  <CharactersWithSpaces>3140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2019-05-17T00:45:00Z</dcterms:created>
  <dc:creator>jxh</dc:creator>
  <cp:lastModifiedBy>admin</cp:lastModifiedBy>
  <cp:lastPrinted>2019-05-14T07:39:00Z</cp:lastPrinted>
  <dcterms:modified xsi:type="dcterms:W3CDTF">2019-05-17T06:17:57Z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