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bookmarkStart w:id="0" w:name="OLE_LINK1"/>
      <w:r>
        <w:rPr>
          <w:rFonts w:hint="eastAsia"/>
        </w:rPr>
        <w:t>上海市资产评估协会2024年工作计划</w:t>
      </w:r>
    </w:p>
    <w:p>
      <w:pPr>
        <w:ind w:firstLine="0" w:firstLineChars="0"/>
      </w:pPr>
    </w:p>
    <w:bookmarkEnd w:id="0"/>
    <w:p>
      <w:pPr>
        <w:ind w:firstLine="640"/>
        <w:rPr>
          <w:rFonts w:eastAsia="仿宋_GB2312"/>
          <w:b w:val="0"/>
          <w:sz w:val="32"/>
        </w:rPr>
      </w:pPr>
      <w:r>
        <w:rPr>
          <w:rFonts w:hint="eastAsia" w:eastAsia="仿宋_GB2312"/>
          <w:b w:val="0"/>
          <w:sz w:val="32"/>
        </w:rPr>
        <w:t>2024年是新中国成立75周年，是实现“十四五”规划攻坚之年。上海市资产评估协会（以下简称协会）要在市社会工作党委、市财政局党组和中评协行业党委的坚强领导下，坚持以习近平新时代中国特色社会主义思想为指导，全面贯彻党的二十大精神和市委全会精神，深化主题教育成果，加强党对资产评估行业的全面领导，服务会员、行业和国家战略，加强机构执业监督和行业自律监督的有机融合，切实引导机构和行业勇担使命，提升行业公信力和影响力，推动行业高质量发展，为上海经济社会建设实现新跨越，加快推进社会主义现代化国际大都市建设贡献专业服务的力量。</w:t>
      </w:r>
    </w:p>
    <w:p>
      <w:pPr>
        <w:pStyle w:val="22"/>
        <w:numPr>
          <w:ilvl w:val="0"/>
          <w:numId w:val="3"/>
        </w:numPr>
        <w:ind w:firstLineChars="0"/>
      </w:pPr>
      <w:bookmarkStart w:id="1" w:name="OLE_LINK2"/>
      <w:r>
        <w:rPr>
          <w:rFonts w:hint="eastAsia"/>
        </w:rPr>
        <w:t>持续增强党建质量，保证行业正确方向</w:t>
      </w:r>
    </w:p>
    <w:bookmarkEnd w:id="1"/>
    <w:p>
      <w:pPr>
        <w:pStyle w:val="22"/>
      </w:pPr>
      <w:bookmarkStart w:id="2" w:name="OLE_LINK3"/>
      <w:r>
        <w:rPr>
          <w:rFonts w:hint="eastAsia"/>
        </w:rPr>
        <w:t>始终保持正确政治方向。</w:t>
      </w:r>
      <w:r>
        <w:rPr>
          <w:rFonts w:hint="eastAsia"/>
          <w:b w:val="0"/>
          <w:bCs/>
        </w:rPr>
        <w:t>引导行业深刻领悟“两个确立”的决定性意义，增强“四个意识”、坚定“四个自信”、做到“两个维护”，深入学习领会新时代党的创新理论，特别是习近平总书记的重要讲话和考察上海讲话精神。根据统一部署，组织开展好纪律教育，强化行业党员纪律规矩意识，增强自我约束力，增强对党忠诚意识，确保党的全面领导，确保党的路线方针政策切实得到贯彻落实。</w:t>
      </w:r>
      <w:bookmarkEnd w:id="2"/>
      <w:r>
        <w:rPr>
          <w:rFonts w:hint="eastAsia"/>
          <w:b w:val="0"/>
          <w:bCs/>
        </w:rPr>
        <w:t>（责任部门：党办）</w:t>
      </w:r>
    </w:p>
    <w:p>
      <w:pPr>
        <w:pStyle w:val="22"/>
      </w:pPr>
      <w:r>
        <w:rPr>
          <w:rFonts w:hint="eastAsia"/>
        </w:rPr>
        <w:t>认真落实“党建入章”要求。</w:t>
      </w:r>
      <w:r>
        <w:rPr>
          <w:rFonts w:hint="eastAsia"/>
          <w:b w:val="0"/>
          <w:bCs/>
        </w:rPr>
        <w:t>始终保持“党建入章”的政治定力和责任担当，注重从源头上强化党对行业的领导，严格执行“党建入章”标准，建立新备案机构“党建入章”常态化的统一联动机制，按照职责分工，有序推进落实，确保评估行业“党建入章”工作落实到位</w:t>
      </w:r>
      <w:r>
        <w:rPr>
          <w:b w:val="0"/>
          <w:bCs/>
        </w:rPr>
        <w:t>。</w:t>
      </w:r>
      <w:r>
        <w:rPr>
          <w:rFonts w:hint="eastAsia"/>
          <w:b w:val="0"/>
          <w:bCs/>
        </w:rPr>
        <w:t>（责任部门：党办、会员部）</w:t>
      </w:r>
    </w:p>
    <w:p>
      <w:pPr>
        <w:pStyle w:val="22"/>
      </w:pPr>
      <w:r>
        <w:rPr>
          <w:rFonts w:hint="eastAsia"/>
        </w:rPr>
        <w:t>加强党建“两员”队伍建设。</w:t>
      </w:r>
      <w:r>
        <w:rPr>
          <w:rFonts w:hint="eastAsia"/>
          <w:b w:val="0"/>
          <w:bCs/>
        </w:rPr>
        <w:t>依据行业党委制发的《党建工作指导员管理办法》《党建工作联络员管理办法》，加大对党建指导员、党建联络员的培养指导管理。根据各执业机构党组织关系的不同情况，实行专人分工负责，明确每位人员负责联系的单位，深入各评估机构，沉下去、面对面、手把手，教思路、指方法，做到“月有联系、季有交流、半年有分析、年度有总结”，密切机构与协会的联系及沟通。有效发挥“两员”队伍带动引导作用，做好2</w:t>
      </w:r>
      <w:r>
        <w:rPr>
          <w:b w:val="0"/>
          <w:bCs/>
        </w:rPr>
        <w:t>024年党员发展工作，将业务骨干吸收到党员队伍中来</w:t>
      </w:r>
      <w:r>
        <w:rPr>
          <w:rFonts w:hint="eastAsia"/>
          <w:b w:val="0"/>
          <w:bCs/>
        </w:rPr>
        <w:t>，不断壮大行业党员队伍和党的基层组织。做好“两优一先”表彰评比工作。</w:t>
      </w:r>
      <w:r>
        <w:rPr>
          <w:b w:val="0"/>
          <w:bCs/>
        </w:rPr>
        <w:t>做好党建信息更新，掌握党员最新动态</w:t>
      </w:r>
      <w:r>
        <w:rPr>
          <w:rFonts w:hint="eastAsia"/>
          <w:b w:val="0"/>
          <w:bCs/>
        </w:rPr>
        <w:t>。（责任部门：党办）</w:t>
      </w:r>
    </w:p>
    <w:p>
      <w:pPr>
        <w:pStyle w:val="22"/>
      </w:pPr>
      <w:r>
        <w:rPr>
          <w:rFonts w:hint="eastAsia"/>
        </w:rPr>
        <w:t>持续加强从业人员全覆盖教育培训。</w:t>
      </w:r>
      <w:r>
        <w:rPr>
          <w:rFonts w:hint="eastAsia"/>
          <w:b w:val="0"/>
          <w:bCs/>
        </w:rPr>
        <w:t>充分发挥行业党校主阵地的作用，结合评估行业业务工作，广泛组织开展分级分层分类培训，切实提高党组织书记的履职水平、党务干部的实操能力、法定代表人的政治素养、首席评估师的履职能力、党外代表人士的政治共识、广大从业人员的理想信念和专业胜任能力。（责任部门：党办、考培部）</w:t>
      </w:r>
    </w:p>
    <w:p>
      <w:pPr>
        <w:pStyle w:val="22"/>
      </w:pPr>
      <w:r>
        <w:rPr>
          <w:rFonts w:hint="eastAsia"/>
        </w:rPr>
        <w:t>持续完善资产评估行业大统战工作格局。</w:t>
      </w:r>
      <w:r>
        <w:rPr>
          <w:rFonts w:hint="eastAsia"/>
          <w:b w:val="0"/>
          <w:bCs/>
        </w:rPr>
        <w:t>贯彻落实中评协党委统战工作实践创新基地建设要求，围绕《关于加强上海注册会计师行业和资产评估行业统战工作的实施方案（2023-2025年）》，加强行业代表人士队伍建设，有计划有组织地选拔行业代表人士，建立行业代表人士数据库。完善行业党委委员和执业机构党组织书记联系行业代表人士工作沟通联系机制，做好行业代表人士的服务保障工作，不断拓宽行业代表人士参政议政渠道，深入了解行业代表人士的真实想法。持续开展“支持党建工作（党外）合伙人”评选等各类创先争优活动，大力弘扬优秀行业代表人士的先进事迹。（责任部门：党办）</w:t>
      </w:r>
    </w:p>
    <w:p>
      <w:pPr>
        <w:pStyle w:val="22"/>
        <w:numPr>
          <w:ilvl w:val="0"/>
          <w:numId w:val="3"/>
        </w:numPr>
        <w:ind w:firstLineChars="0"/>
      </w:pPr>
      <w:bookmarkStart w:id="3" w:name="OLE_LINK5"/>
      <w:r>
        <w:rPr>
          <w:rFonts w:hint="eastAsia"/>
        </w:rPr>
        <w:t>完善会员管理体系，提升服务管理效能</w:t>
      </w:r>
    </w:p>
    <w:bookmarkEnd w:id="3"/>
    <w:p>
      <w:pPr>
        <w:pStyle w:val="22"/>
      </w:pPr>
      <w:r>
        <w:rPr>
          <w:rFonts w:hint="eastAsia"/>
        </w:rPr>
        <w:t>持续加强会员管理。</w:t>
      </w:r>
      <w:r>
        <w:rPr>
          <w:rFonts w:hint="eastAsia"/>
          <w:b w:val="0"/>
          <w:bCs/>
        </w:rPr>
        <w:t>适时开展新的会员管理办法实施情况调研工作，实地走访会员单位，及时了解会员管理办法实施过程中的新情况、新问题，及时反馈相关信息，关注会员管理的最新动态，确保本市资产评估行业的会员管理工作始终与行业发展保持同步，为推动全国资产评估行业的会员管理工作提供有益参考。积极开展资深会员和荣誉会员评选工作，积极宣传“光荣评估30年”资深会员、荣誉会员的事迹，激励广大会员不断提升专业素养、服务质量、崇尚诚信、勤奋敬业。（责任部门：会员部）</w:t>
      </w:r>
    </w:p>
    <w:p>
      <w:pPr>
        <w:pStyle w:val="22"/>
      </w:pPr>
      <w:r>
        <w:rPr>
          <w:rFonts w:hint="eastAsia"/>
        </w:rPr>
        <w:t>加强行业诚信建设。</w:t>
      </w:r>
      <w:r>
        <w:rPr>
          <w:rFonts w:hint="eastAsia"/>
          <w:b w:val="0"/>
          <w:bCs/>
        </w:rPr>
        <w:t>对资产评估师开展诚信宣誓活动，增强评估师的自豪感。加大对执业会员诚信信息的披露力度，不断提升从业人员诚信执业的行动自觉。组织开展自然资源、知识产权和数据资产评估特色机构的推荐评选工作，推动机构进一步拓展特色、特长业务。通报机构年度收入情况，为机构在政府采购、社会购买服务等方面提供有价值的帮助，促进资产评估机构做优做强。（责任部门：会员部、监管部、行政部、考培部、综合部）</w:t>
      </w:r>
    </w:p>
    <w:p>
      <w:pPr>
        <w:pStyle w:val="22"/>
        <w:numPr>
          <w:ilvl w:val="0"/>
          <w:numId w:val="3"/>
        </w:numPr>
        <w:ind w:firstLineChars="0"/>
      </w:pPr>
      <w:bookmarkStart w:id="4" w:name="OLE_LINK6"/>
      <w:r>
        <w:rPr>
          <w:rFonts w:hint="eastAsia"/>
        </w:rPr>
        <w:t>深化研究扩大宣传，引领行业创新发展</w:t>
      </w:r>
    </w:p>
    <w:p>
      <w:pPr>
        <w:pStyle w:val="22"/>
      </w:pPr>
      <w:r>
        <w:rPr>
          <w:rFonts w:hint="eastAsia"/>
        </w:rPr>
        <w:t>做好行业例会实施与通讯员队伍建设。</w:t>
      </w:r>
      <w:r>
        <w:rPr>
          <w:rFonts w:hint="eastAsia"/>
          <w:b w:val="0"/>
          <w:bCs/>
        </w:rPr>
        <w:t>组织开展行业例会活动，通过定期组织例会，加强各单位之间的交流与合作，共同探讨行业发展的新思路和新方向，促进信息的有效传递和行业的协同发展。加强对通讯员队伍的管理，组织开展系列指导培训活动，努力提高通讯员写作能力，调动通讯员的工作积极性，主动关注机构的工作动向、发展趋势、前沿科学的研究优秀人物和优秀事迹的挖掘，积极主动撰写通讯稿，利用网站、微信公众号等平台，全面展示机构的时代担当和职业风采。（责任部门：综合部、例会联络员）</w:t>
      </w:r>
    </w:p>
    <w:p>
      <w:pPr>
        <w:pStyle w:val="22"/>
      </w:pPr>
      <w:r>
        <w:rPr>
          <w:rFonts w:hint="eastAsia"/>
        </w:rPr>
        <w:t>做好课题研究。</w:t>
      </w:r>
      <w:r>
        <w:rPr>
          <w:rFonts w:hint="eastAsia"/>
          <w:b w:val="0"/>
          <w:bCs/>
        </w:rPr>
        <w:t>围绕行业面临的困难及发展瓶颈，加强前瞻性研究，为行业发展献计献策。针对行业现状，开展《关于进一步加强资产评估行业诚信建设若干问题的思考》的研究。做好《司法项目风险提示》</w:t>
      </w:r>
      <w:r>
        <w:rPr>
          <w:rFonts w:hint="eastAsia" w:ascii="仿宋_GB2312" w:hAnsi="仿宋_GB2312"/>
          <w:b w:val="0"/>
          <w:bCs/>
        </w:rPr>
        <w:t>《专家审核工作规范指引》《执业风险提示——案例解析》《关于完善机构内部治理的思考》《企业数据资产的运用和价值评估》等课题研究的成果转化，提高理论研究水平，</w:t>
      </w:r>
      <w:r>
        <w:rPr>
          <w:rFonts w:hint="eastAsia"/>
          <w:b w:val="0"/>
          <w:bCs/>
        </w:rPr>
        <w:t>增强行业发展的内生动力，进一步指导行业的发展。为深入贯彻落实《关于进一步加强财会监督工作的意见》精神，更好履行行业监管职责，配合中评协开展《虚假或重大遗漏资产评估报告认定标准判定要件的研究》。（责任部门：综合部）</w:t>
      </w:r>
    </w:p>
    <w:p>
      <w:pPr>
        <w:pStyle w:val="22"/>
        <w:numPr>
          <w:ilvl w:val="0"/>
          <w:numId w:val="3"/>
        </w:numPr>
        <w:ind w:firstLineChars="0"/>
      </w:pPr>
      <w:r>
        <w:rPr>
          <w:rFonts w:hint="eastAsia"/>
        </w:rPr>
        <w:t>加强人才队伍建设，完善人才培养体系</w:t>
      </w:r>
    </w:p>
    <w:bookmarkEnd w:id="4"/>
    <w:p>
      <w:pPr>
        <w:pStyle w:val="22"/>
      </w:pPr>
      <w:r>
        <w:rPr>
          <w:rFonts w:hint="eastAsia"/>
        </w:rPr>
        <w:t>加大培训力度。</w:t>
      </w:r>
      <w:r>
        <w:rPr>
          <w:rFonts w:hint="eastAsia"/>
          <w:b w:val="0"/>
          <w:bCs/>
        </w:rPr>
        <w:t>按照评估机构和从业人员的培训需求，研究制定行业年度教育培训计划，分批次、分领域、分阶段组织开展各类培训，满足会员的需求。加强对第六期行业高端人才班的培训管理，提升骨干资产评估师综合素质，为行业高质量发展奠定坚实基础；开展机构负责人的培训，提高政治素养，提升企业管理水平，完善企业内部治理；开展首席评估师的培训，提升对评估业务准则解读等履职能力；开展小微机构、房估机构、新入职资产评估师的培训，帮助会员掌握资产评估的核心知识和专业技能；开展数据资产专业培训，帮助会员了解掌握数据资产评估的基本方法和实践应用；开展从事证券服务业务评估机构的培训，进一步提高证券服务业务风险防范意识。在培训过程中通过剖析刑事案例、惩戒案例、重大遗漏报告案例等，让会员深刻认识到违规行为带来的严重后果，从而规范自身行为；通过分享调研课题成果，调动青年评估师的干事创业积极性，让更多会员了解研究成果，促进评估新领域、新知识的创新、传播和应用。坚持线上线下并重，继续举办《股权价值的时间序列关系及其在企业价值评估中的应用研究》等沙龙活动，依托上海国家会计学院网络培训平台，开展继续教育培训，为评估机构补齐业务短板，助力机构业务拓展</w:t>
      </w:r>
      <w:r>
        <w:rPr>
          <w:rFonts w:hint="eastAsia"/>
        </w:rPr>
        <w:t>。</w:t>
      </w:r>
      <w:r>
        <w:rPr>
          <w:rFonts w:hint="eastAsia"/>
          <w:b w:val="0"/>
          <w:bCs/>
        </w:rPr>
        <w:t>（责任部门：考培部）</w:t>
      </w:r>
    </w:p>
    <w:p>
      <w:pPr>
        <w:pStyle w:val="22"/>
      </w:pPr>
      <w:r>
        <w:rPr>
          <w:rFonts w:hint="eastAsia"/>
        </w:rPr>
        <w:t>加强与高校</w:t>
      </w:r>
      <w:r>
        <w:t>的联合协作</w:t>
      </w:r>
      <w:r>
        <w:rPr>
          <w:rFonts w:hint="eastAsia"/>
        </w:rPr>
        <w:t>。</w:t>
      </w:r>
      <w:r>
        <w:rPr>
          <w:rFonts w:hint="eastAsia"/>
          <w:b w:val="0"/>
          <w:bCs/>
        </w:rPr>
        <w:t>组织机构和专家走进高校，联合组织开展行业推介产学研合作、课题研究、人员交流等活动，搭建多种形式的人才供需平台，做好行业后备人才培养工作，做好行业资产评估人员学历提升工作，为行业持续发展提供人才支持。（责任部门：考培部、综合部）</w:t>
      </w:r>
    </w:p>
    <w:p>
      <w:pPr>
        <w:pStyle w:val="22"/>
      </w:pPr>
      <w:r>
        <w:rPr>
          <w:rFonts w:hint="eastAsia"/>
        </w:rPr>
        <w:t>认真做好全国资产评估师考试上海考点的组织工作。</w:t>
      </w:r>
      <w:r>
        <w:rPr>
          <w:rFonts w:hint="eastAsia"/>
          <w:b w:val="0"/>
          <w:bCs/>
        </w:rPr>
        <w:t>总结历年上海考区考务工作的经验与不足，进一步完善考务工作机制，细化考务方案预案，加强与机考公司的协调配合，积极做好服务考生工作，为广大考生解答考试相关政策要求，主动落实好报名、审核、考试、发证等阶段各项工作，进一步增强服务考生意识，确保考试安全平稳。（责任部门：考培部）</w:t>
      </w:r>
    </w:p>
    <w:p>
      <w:pPr>
        <w:pStyle w:val="22"/>
        <w:numPr>
          <w:ilvl w:val="0"/>
          <w:numId w:val="3"/>
        </w:numPr>
        <w:ind w:firstLineChars="0"/>
      </w:pPr>
      <w:bookmarkStart w:id="5" w:name="OLE_LINK7"/>
      <w:r>
        <w:rPr>
          <w:rFonts w:hint="eastAsia"/>
        </w:rPr>
        <w:t>履行监督管理职责，提升自律监管水平</w:t>
      </w:r>
    </w:p>
    <w:bookmarkEnd w:id="5"/>
    <w:p>
      <w:pPr>
        <w:pStyle w:val="22"/>
      </w:pPr>
      <w:r>
        <w:rPr>
          <w:rFonts w:hint="eastAsia"/>
        </w:rPr>
        <w:t>实施常态化自律监管工作。</w:t>
      </w:r>
      <w:r>
        <w:rPr>
          <w:rFonts w:hint="eastAsia"/>
          <w:b w:val="0"/>
        </w:rPr>
        <w:t>根据财政部门的统一部署，会同财政监督局联合开展执业质量检查，检查覆盖面（率）不低于10%，加大检查力度，对违法违纪和违反执业准则行为的机构和人员，采取谈话提醒、行业惩戒、行政处理处罚等形式进行整改帮扶，形成有效震慑力，不断发挥执业质量检查的风险发现、风险警示与技术提升作用，提高行业执业风险防范能力，持续提高执业质量。开展从事证券服务业务执业质量检查，做好现场检查工作，配合中评协做好审理处理后续工作。做好投诉举报工作，确保每一件投诉举报得到妥善处理。做好法院委托的专业技术评审工作，有效维护相关当事人的合法权益。利用中评协业务报备系统，常态化核查机构业务报备情况。</w:t>
      </w:r>
      <w:r>
        <w:rPr>
          <w:rFonts w:hint="eastAsia"/>
          <w:b w:val="0"/>
          <w:bCs/>
        </w:rPr>
        <w:t>（责任部门：监管部）</w:t>
      </w:r>
    </w:p>
    <w:p>
      <w:pPr>
        <w:pStyle w:val="22"/>
        <w:numPr>
          <w:ilvl w:val="0"/>
          <w:numId w:val="3"/>
        </w:numPr>
        <w:ind w:firstLineChars="0"/>
      </w:pPr>
      <w:r>
        <w:rPr>
          <w:rFonts w:hint="eastAsia"/>
        </w:rPr>
        <w:t>积极</w:t>
      </w:r>
      <w:bookmarkStart w:id="6" w:name="OLE_LINK9"/>
      <w:r>
        <w:rPr>
          <w:rFonts w:hint="eastAsia"/>
        </w:rPr>
        <w:t>服务国家战略，努力推动经济发展</w:t>
      </w:r>
    </w:p>
    <w:bookmarkEnd w:id="6"/>
    <w:p>
      <w:pPr>
        <w:pStyle w:val="22"/>
      </w:pPr>
      <w:bookmarkStart w:id="7" w:name="OLE_LINK10"/>
      <w:r>
        <w:rPr>
          <w:rFonts w:hint="eastAsia"/>
        </w:rPr>
        <w:t>主动服务“一带一路”和“长三角一体化”两大国家战略。</w:t>
      </w:r>
      <w:r>
        <w:rPr>
          <w:rFonts w:hint="eastAsia"/>
          <w:b w:val="0"/>
          <w:bCs/>
        </w:rPr>
        <w:t>充分发挥资产评估的专业优势，鼓励评估机构为国家的重大项目、基础设施建设、国资国企改革等，开展专业服务，助力企业“走出去”和资本“引进来”，推动资产评估行业的国际化发展，为“一带一路”建设提供有力支撑。紧密围绕长三角区域一体化发展的总体要求，推动资产评估行业在区域内的协同发展和资源共享，加强与长三角地区及周边兄弟协会间协同发展，深化务实合作，为“长三角一体化”提供坚实的服务保障。（责任部门：综合部、监管部、考培部）</w:t>
      </w:r>
    </w:p>
    <w:bookmarkEnd w:id="7"/>
    <w:p>
      <w:pPr>
        <w:pStyle w:val="22"/>
        <w:numPr>
          <w:ilvl w:val="0"/>
          <w:numId w:val="3"/>
        </w:numPr>
        <w:ind w:firstLineChars="0"/>
      </w:pPr>
      <w:r>
        <w:rPr>
          <w:rFonts w:hint="eastAsia"/>
        </w:rPr>
        <w:t>坚持多项措施并举，夯实协会基础建设</w:t>
      </w:r>
    </w:p>
    <w:p>
      <w:pPr>
        <w:pStyle w:val="22"/>
      </w:pPr>
      <w:r>
        <w:rPr>
          <w:rFonts w:hint="eastAsia"/>
        </w:rPr>
        <w:t>持续优化内部治理机制。</w:t>
      </w:r>
      <w:r>
        <w:rPr>
          <w:rFonts w:hint="eastAsia"/>
          <w:b w:val="0"/>
          <w:bCs/>
        </w:rPr>
        <w:t>健全和完善内部治理体系，确保上评协的稳健发展。定期召开会长办公会议，确保工作的及时性和有效性。组织召开第五届会员代表大会第二次会议，共商协会发展大计，进一步凝聚会员力量。组织召开理事会、常务理事会和监事会会议，充分发挥决策和监督作用，保障工作的透明度和公正性。发挥各专业委员会的智库作用，进一步提升各专业（专门）委员会的影响力，组织研讨会、座谈交流等活动，促进各委员会在人才培养、自律监管、业务拓展、维护行业利益以及信息化建设等方面的专业指导咨询作用，为会员提供更加精准和高效的服务，提高工作的专业性和权威性。（责任部门：综合部）</w:t>
      </w:r>
    </w:p>
    <w:p>
      <w:pPr>
        <w:pStyle w:val="22"/>
      </w:pPr>
      <w:r>
        <w:rPr>
          <w:rFonts w:hint="eastAsia"/>
        </w:rPr>
        <w:t>树立协会服务意识。</w:t>
      </w:r>
      <w:r>
        <w:rPr>
          <w:rFonts w:hint="eastAsia"/>
          <w:b w:val="0"/>
        </w:rPr>
        <w:t>按照要求加强行业协会自身建设，不断提高服务、管理、监督、协调能力。加强协会员工教育培训管理，发挥员工的主观能动性，树立主动服务意识，优化服务内容和方式，提升会员满意度。根据实际情况制定和完善内部规章制度并有效执行，确保协会工作的规范性和高效性，不断提升协会的综合实力和影响力。</w:t>
      </w:r>
      <w:r>
        <w:rPr>
          <w:rFonts w:hint="eastAsia"/>
          <w:b w:val="0"/>
          <w:bCs/>
        </w:rPr>
        <w:t>（责任部门：秘书处各部门）</w:t>
      </w:r>
    </w:p>
    <w:p>
      <w:pPr>
        <w:pStyle w:val="22"/>
      </w:pPr>
      <w:r>
        <w:rPr>
          <w:rFonts w:hint="eastAsia"/>
        </w:rPr>
        <w:t>加强</w:t>
      </w:r>
      <w:r>
        <w:t>信息化建设工作。</w:t>
      </w:r>
      <w:r>
        <w:rPr>
          <w:rFonts w:hint="eastAsia"/>
          <w:b w:val="0"/>
          <w:bCs/>
        </w:rPr>
        <w:t>高度重视信息化建设工作，并将其作为提升协会服务水平和行业影响力的重要抓手。积极实施线上内部审批流程系统，简化和加快审批过程，确保每个步骤的责任和时间节点清晰明确，以更加高效、便捷的方式实现内部沟通与交</w:t>
      </w:r>
      <w:bookmarkStart w:id="8" w:name="_GoBack"/>
      <w:bookmarkEnd w:id="8"/>
      <w:r>
        <w:rPr>
          <w:rFonts w:hint="eastAsia"/>
          <w:b w:val="0"/>
          <w:bCs/>
        </w:rPr>
        <w:t>流，提升办公效率和管理水平。继续打造全新门户网站，为提升行业形象，扩大社会影响力，增强信息传播效果贡献力量。（责任部门：综合部）</w:t>
      </w:r>
    </w:p>
    <w:p>
      <w:pPr>
        <w:pStyle w:val="22"/>
        <w:numPr>
          <w:ilvl w:val="0"/>
          <w:numId w:val="0"/>
        </w:numPr>
        <w:spacing w:line="240" w:lineRule="auto"/>
        <w:rPr>
          <w:rFonts w:hint="eastAsia"/>
          <w:b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3"/>
      </w:pPr>
      <w:r>
        <w:separator/>
      </w:r>
    </w:p>
  </w:endnote>
  <w:endnote w:type="continuationSeparator" w:id="1">
    <w:p>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009743"/>
    </w:sdtPr>
    <w:sdtContent>
      <w:p>
        <w:pPr>
          <w:pStyle w:val="6"/>
          <w:ind w:firstLine="361"/>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3"/>
      </w:pPr>
      <w:r>
        <w:separator/>
      </w:r>
    </w:p>
  </w:footnote>
  <w:footnote w:type="continuationSeparator" w:id="1">
    <w:p>
      <w:pPr>
        <w:spacing w:line="360" w:lineRule="auto"/>
        <w:ind w:firstLine="72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8371C"/>
    <w:multiLevelType w:val="multilevel"/>
    <w:tmpl w:val="C248371C"/>
    <w:lvl w:ilvl="0" w:tentative="0">
      <w:start w:val="1"/>
      <w:numFmt w:val="decimal"/>
      <w:suff w:val="space"/>
      <w:lvlText w:val="%1"/>
      <w:lvlJc w:val="left"/>
      <w:pPr>
        <w:ind w:left="0" w:firstLine="0"/>
      </w:pPr>
      <w:rPr>
        <w:rFonts w:hint="default"/>
      </w:rPr>
    </w:lvl>
    <w:lvl w:ilvl="1" w:tentative="0">
      <w:start w:val="1"/>
      <w:numFmt w:val="decimal"/>
      <w:pStyle w:val="14"/>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F791A85"/>
    <w:multiLevelType w:val="multilevel"/>
    <w:tmpl w:val="1F791A85"/>
    <w:lvl w:ilvl="0" w:tentative="0">
      <w:start w:val="1"/>
      <w:numFmt w:val="chineseCountingThousand"/>
      <w:pStyle w:val="22"/>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66D95F4"/>
    <w:multiLevelType w:val="singleLevel"/>
    <w:tmpl w:val="566D95F4"/>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jAwMDFjZTY4NzcxOGY0ZWRhYjcyNmJiY2UzNTAifQ=="/>
  </w:docVars>
  <w:rsids>
    <w:rsidRoot w:val="00305261"/>
    <w:rsid w:val="00005DA9"/>
    <w:rsid w:val="00022090"/>
    <w:rsid w:val="000257C5"/>
    <w:rsid w:val="00030F6F"/>
    <w:rsid w:val="00045275"/>
    <w:rsid w:val="00055E26"/>
    <w:rsid w:val="00061836"/>
    <w:rsid w:val="000801B1"/>
    <w:rsid w:val="00083098"/>
    <w:rsid w:val="0009375E"/>
    <w:rsid w:val="00095251"/>
    <w:rsid w:val="000B3C6C"/>
    <w:rsid w:val="000B50B5"/>
    <w:rsid w:val="000D16DD"/>
    <w:rsid w:val="000E06CC"/>
    <w:rsid w:val="000E49BF"/>
    <w:rsid w:val="00103A6B"/>
    <w:rsid w:val="001148F4"/>
    <w:rsid w:val="00121D7E"/>
    <w:rsid w:val="001418FD"/>
    <w:rsid w:val="0015025E"/>
    <w:rsid w:val="0015222F"/>
    <w:rsid w:val="00164412"/>
    <w:rsid w:val="001857D3"/>
    <w:rsid w:val="00186B9C"/>
    <w:rsid w:val="001A2968"/>
    <w:rsid w:val="001E0723"/>
    <w:rsid w:val="001E0CFC"/>
    <w:rsid w:val="001F572E"/>
    <w:rsid w:val="002131B8"/>
    <w:rsid w:val="0022129A"/>
    <w:rsid w:val="002245AB"/>
    <w:rsid w:val="0024622D"/>
    <w:rsid w:val="0025131F"/>
    <w:rsid w:val="0026231B"/>
    <w:rsid w:val="00280A31"/>
    <w:rsid w:val="00287A8A"/>
    <w:rsid w:val="00292341"/>
    <w:rsid w:val="002A5D29"/>
    <w:rsid w:val="002C1EDE"/>
    <w:rsid w:val="002D0CAB"/>
    <w:rsid w:val="002D25A4"/>
    <w:rsid w:val="002E3668"/>
    <w:rsid w:val="00302526"/>
    <w:rsid w:val="00304391"/>
    <w:rsid w:val="00304843"/>
    <w:rsid w:val="00305261"/>
    <w:rsid w:val="003301BC"/>
    <w:rsid w:val="00343F33"/>
    <w:rsid w:val="00361061"/>
    <w:rsid w:val="00370ABC"/>
    <w:rsid w:val="003852B0"/>
    <w:rsid w:val="00386C2D"/>
    <w:rsid w:val="003A38EE"/>
    <w:rsid w:val="003A44DA"/>
    <w:rsid w:val="003A4F30"/>
    <w:rsid w:val="003D266D"/>
    <w:rsid w:val="003D74C9"/>
    <w:rsid w:val="003E4167"/>
    <w:rsid w:val="003F6C3F"/>
    <w:rsid w:val="00421327"/>
    <w:rsid w:val="004427A8"/>
    <w:rsid w:val="0046273F"/>
    <w:rsid w:val="00467785"/>
    <w:rsid w:val="004729E2"/>
    <w:rsid w:val="00483D07"/>
    <w:rsid w:val="004C5B2C"/>
    <w:rsid w:val="004D3033"/>
    <w:rsid w:val="004E18D5"/>
    <w:rsid w:val="004E7476"/>
    <w:rsid w:val="004F2749"/>
    <w:rsid w:val="004F50E7"/>
    <w:rsid w:val="00506C57"/>
    <w:rsid w:val="005148CC"/>
    <w:rsid w:val="0054679F"/>
    <w:rsid w:val="00557564"/>
    <w:rsid w:val="005B0C88"/>
    <w:rsid w:val="005B54A7"/>
    <w:rsid w:val="005B7DF9"/>
    <w:rsid w:val="005E5E35"/>
    <w:rsid w:val="005F32CB"/>
    <w:rsid w:val="005F3FCA"/>
    <w:rsid w:val="00621F6F"/>
    <w:rsid w:val="00635E86"/>
    <w:rsid w:val="00660E42"/>
    <w:rsid w:val="00667495"/>
    <w:rsid w:val="006949A7"/>
    <w:rsid w:val="00696F48"/>
    <w:rsid w:val="006B0D68"/>
    <w:rsid w:val="006B2913"/>
    <w:rsid w:val="006B6478"/>
    <w:rsid w:val="006C252B"/>
    <w:rsid w:val="00710AA4"/>
    <w:rsid w:val="007307CC"/>
    <w:rsid w:val="007438E5"/>
    <w:rsid w:val="00875BE5"/>
    <w:rsid w:val="00895E4D"/>
    <w:rsid w:val="008A1938"/>
    <w:rsid w:val="008A6C11"/>
    <w:rsid w:val="008B4D36"/>
    <w:rsid w:val="008C5892"/>
    <w:rsid w:val="008C610C"/>
    <w:rsid w:val="008D313A"/>
    <w:rsid w:val="008D4F31"/>
    <w:rsid w:val="008F6EB2"/>
    <w:rsid w:val="00923808"/>
    <w:rsid w:val="00930F06"/>
    <w:rsid w:val="009464E8"/>
    <w:rsid w:val="0096129F"/>
    <w:rsid w:val="00962115"/>
    <w:rsid w:val="00983DC2"/>
    <w:rsid w:val="009960FB"/>
    <w:rsid w:val="009C22A5"/>
    <w:rsid w:val="009E5F0A"/>
    <w:rsid w:val="009F228C"/>
    <w:rsid w:val="00A00668"/>
    <w:rsid w:val="00A415F1"/>
    <w:rsid w:val="00A5279A"/>
    <w:rsid w:val="00A52CB9"/>
    <w:rsid w:val="00A83AD0"/>
    <w:rsid w:val="00A84AA3"/>
    <w:rsid w:val="00A93A7F"/>
    <w:rsid w:val="00AF2950"/>
    <w:rsid w:val="00AF3229"/>
    <w:rsid w:val="00AF6C2F"/>
    <w:rsid w:val="00B067EC"/>
    <w:rsid w:val="00B46039"/>
    <w:rsid w:val="00BA3466"/>
    <w:rsid w:val="00BB0961"/>
    <w:rsid w:val="00BB62E3"/>
    <w:rsid w:val="00BC41F2"/>
    <w:rsid w:val="00BF73B7"/>
    <w:rsid w:val="00C13C2C"/>
    <w:rsid w:val="00C409EA"/>
    <w:rsid w:val="00C44D0D"/>
    <w:rsid w:val="00C604B3"/>
    <w:rsid w:val="00C96FF4"/>
    <w:rsid w:val="00C97773"/>
    <w:rsid w:val="00CB3084"/>
    <w:rsid w:val="00CD5841"/>
    <w:rsid w:val="00D27F85"/>
    <w:rsid w:val="00D31039"/>
    <w:rsid w:val="00D35FEE"/>
    <w:rsid w:val="00D40C5C"/>
    <w:rsid w:val="00D4192B"/>
    <w:rsid w:val="00D453CE"/>
    <w:rsid w:val="00D51992"/>
    <w:rsid w:val="00D561B2"/>
    <w:rsid w:val="00D60407"/>
    <w:rsid w:val="00D82E5D"/>
    <w:rsid w:val="00DA09F1"/>
    <w:rsid w:val="00DA6069"/>
    <w:rsid w:val="00DB5B72"/>
    <w:rsid w:val="00DC44B7"/>
    <w:rsid w:val="00DD0A0D"/>
    <w:rsid w:val="00DE3995"/>
    <w:rsid w:val="00DF11EE"/>
    <w:rsid w:val="00DF1841"/>
    <w:rsid w:val="00DF2CD3"/>
    <w:rsid w:val="00E0053E"/>
    <w:rsid w:val="00E31C5E"/>
    <w:rsid w:val="00E371FE"/>
    <w:rsid w:val="00E53E95"/>
    <w:rsid w:val="00E61456"/>
    <w:rsid w:val="00E949C6"/>
    <w:rsid w:val="00EA7A52"/>
    <w:rsid w:val="00EF4E73"/>
    <w:rsid w:val="00F15663"/>
    <w:rsid w:val="00F1725D"/>
    <w:rsid w:val="00F35B1B"/>
    <w:rsid w:val="00F37FFC"/>
    <w:rsid w:val="00F646D3"/>
    <w:rsid w:val="00F84572"/>
    <w:rsid w:val="00FA0F8A"/>
    <w:rsid w:val="00FA3AC2"/>
    <w:rsid w:val="00FC1D85"/>
    <w:rsid w:val="00FC5058"/>
    <w:rsid w:val="00FE3495"/>
    <w:rsid w:val="010A478A"/>
    <w:rsid w:val="029F2304"/>
    <w:rsid w:val="02A93B2F"/>
    <w:rsid w:val="02D7069C"/>
    <w:rsid w:val="02F0175E"/>
    <w:rsid w:val="03011BBD"/>
    <w:rsid w:val="03103BAE"/>
    <w:rsid w:val="046E6DDE"/>
    <w:rsid w:val="04D94B9F"/>
    <w:rsid w:val="04F35535"/>
    <w:rsid w:val="058D598A"/>
    <w:rsid w:val="059B00A7"/>
    <w:rsid w:val="05C3315A"/>
    <w:rsid w:val="068154EF"/>
    <w:rsid w:val="06896151"/>
    <w:rsid w:val="06E104B7"/>
    <w:rsid w:val="07206390"/>
    <w:rsid w:val="072440CC"/>
    <w:rsid w:val="074327A4"/>
    <w:rsid w:val="07442078"/>
    <w:rsid w:val="07FB6E07"/>
    <w:rsid w:val="08381BDD"/>
    <w:rsid w:val="08C23B9D"/>
    <w:rsid w:val="0A434869"/>
    <w:rsid w:val="0AE55920"/>
    <w:rsid w:val="0B267530"/>
    <w:rsid w:val="0B536D2E"/>
    <w:rsid w:val="0BDC6D23"/>
    <w:rsid w:val="0C632FA1"/>
    <w:rsid w:val="0CDA7707"/>
    <w:rsid w:val="0D7116ED"/>
    <w:rsid w:val="0D71793F"/>
    <w:rsid w:val="0D7F02AE"/>
    <w:rsid w:val="0E342E47"/>
    <w:rsid w:val="0E682AF0"/>
    <w:rsid w:val="0E7771D7"/>
    <w:rsid w:val="0E813BB2"/>
    <w:rsid w:val="0F070B5E"/>
    <w:rsid w:val="0F20161D"/>
    <w:rsid w:val="0F31382A"/>
    <w:rsid w:val="0F4A7E7B"/>
    <w:rsid w:val="0F827BE2"/>
    <w:rsid w:val="0FFC5BE6"/>
    <w:rsid w:val="105F7F23"/>
    <w:rsid w:val="10A5002C"/>
    <w:rsid w:val="10A83678"/>
    <w:rsid w:val="11D5049D"/>
    <w:rsid w:val="127952CC"/>
    <w:rsid w:val="13207BC0"/>
    <w:rsid w:val="132D4308"/>
    <w:rsid w:val="13491142"/>
    <w:rsid w:val="136A730B"/>
    <w:rsid w:val="139E0D62"/>
    <w:rsid w:val="141F6347"/>
    <w:rsid w:val="142677BC"/>
    <w:rsid w:val="144D6A10"/>
    <w:rsid w:val="14861F22"/>
    <w:rsid w:val="149A777C"/>
    <w:rsid w:val="14C64A14"/>
    <w:rsid w:val="14D902A4"/>
    <w:rsid w:val="15567B46"/>
    <w:rsid w:val="155C2C83"/>
    <w:rsid w:val="15B17473"/>
    <w:rsid w:val="16223ECC"/>
    <w:rsid w:val="1651030E"/>
    <w:rsid w:val="165F2A2B"/>
    <w:rsid w:val="16B25250"/>
    <w:rsid w:val="171316D0"/>
    <w:rsid w:val="17C90AA4"/>
    <w:rsid w:val="19061883"/>
    <w:rsid w:val="190D49C0"/>
    <w:rsid w:val="1A057D8D"/>
    <w:rsid w:val="1A7C004F"/>
    <w:rsid w:val="1ADC0AEE"/>
    <w:rsid w:val="1BBC447B"/>
    <w:rsid w:val="1BC82E20"/>
    <w:rsid w:val="1C7B60E4"/>
    <w:rsid w:val="1C9F1DD3"/>
    <w:rsid w:val="1CF0262F"/>
    <w:rsid w:val="1D3F7112"/>
    <w:rsid w:val="1D5E1C8E"/>
    <w:rsid w:val="1D9A07EC"/>
    <w:rsid w:val="1DF919B7"/>
    <w:rsid w:val="1E401394"/>
    <w:rsid w:val="1E4A2212"/>
    <w:rsid w:val="1F6364C4"/>
    <w:rsid w:val="200563F1"/>
    <w:rsid w:val="2027280B"/>
    <w:rsid w:val="20947775"/>
    <w:rsid w:val="217F0425"/>
    <w:rsid w:val="219F2875"/>
    <w:rsid w:val="21F506E7"/>
    <w:rsid w:val="225B49EE"/>
    <w:rsid w:val="22DB78DD"/>
    <w:rsid w:val="23DF164F"/>
    <w:rsid w:val="24092228"/>
    <w:rsid w:val="243707EA"/>
    <w:rsid w:val="25672EFA"/>
    <w:rsid w:val="26296BB1"/>
    <w:rsid w:val="26BE379D"/>
    <w:rsid w:val="26EB3E67"/>
    <w:rsid w:val="272A0E33"/>
    <w:rsid w:val="27455C6D"/>
    <w:rsid w:val="293935AF"/>
    <w:rsid w:val="29472DD6"/>
    <w:rsid w:val="29543F45"/>
    <w:rsid w:val="2A5266D7"/>
    <w:rsid w:val="2AC1560A"/>
    <w:rsid w:val="2AFB4FC0"/>
    <w:rsid w:val="2B667F60"/>
    <w:rsid w:val="2C610E53"/>
    <w:rsid w:val="2D0068BE"/>
    <w:rsid w:val="2DF950BB"/>
    <w:rsid w:val="2E444588"/>
    <w:rsid w:val="2F350375"/>
    <w:rsid w:val="2F666780"/>
    <w:rsid w:val="30DD0CC4"/>
    <w:rsid w:val="314D5E4A"/>
    <w:rsid w:val="318F1FBE"/>
    <w:rsid w:val="326C2300"/>
    <w:rsid w:val="328B4E7C"/>
    <w:rsid w:val="32E97DF4"/>
    <w:rsid w:val="336708F1"/>
    <w:rsid w:val="33981E5E"/>
    <w:rsid w:val="339F04B3"/>
    <w:rsid w:val="344C063B"/>
    <w:rsid w:val="34C75F13"/>
    <w:rsid w:val="34F12F90"/>
    <w:rsid w:val="354B26A0"/>
    <w:rsid w:val="35B9585C"/>
    <w:rsid w:val="37C30C14"/>
    <w:rsid w:val="3857135C"/>
    <w:rsid w:val="39CE564E"/>
    <w:rsid w:val="3AAE1213"/>
    <w:rsid w:val="3ACC7DDF"/>
    <w:rsid w:val="3BAC19BF"/>
    <w:rsid w:val="3C94492D"/>
    <w:rsid w:val="3CDB69FF"/>
    <w:rsid w:val="3DA52B6A"/>
    <w:rsid w:val="3DB1150E"/>
    <w:rsid w:val="3DC456E6"/>
    <w:rsid w:val="3FD55988"/>
    <w:rsid w:val="40322DDA"/>
    <w:rsid w:val="407F3B46"/>
    <w:rsid w:val="41140732"/>
    <w:rsid w:val="41566655"/>
    <w:rsid w:val="42312C1E"/>
    <w:rsid w:val="426E6DF0"/>
    <w:rsid w:val="427F1BDB"/>
    <w:rsid w:val="43CE2E1A"/>
    <w:rsid w:val="4614088C"/>
    <w:rsid w:val="46794B93"/>
    <w:rsid w:val="46F74436"/>
    <w:rsid w:val="47024B89"/>
    <w:rsid w:val="473C453F"/>
    <w:rsid w:val="47503B46"/>
    <w:rsid w:val="47727F60"/>
    <w:rsid w:val="479223B1"/>
    <w:rsid w:val="481E4F50"/>
    <w:rsid w:val="49AE2DA6"/>
    <w:rsid w:val="4A0D4B7B"/>
    <w:rsid w:val="4A3C04DE"/>
    <w:rsid w:val="4ACB70BD"/>
    <w:rsid w:val="4C06511B"/>
    <w:rsid w:val="4C231829"/>
    <w:rsid w:val="4C76404F"/>
    <w:rsid w:val="4D04165B"/>
    <w:rsid w:val="4D3637DE"/>
    <w:rsid w:val="4D693BB4"/>
    <w:rsid w:val="4D902EEE"/>
    <w:rsid w:val="4DAC584E"/>
    <w:rsid w:val="4E830CA5"/>
    <w:rsid w:val="4EB96475"/>
    <w:rsid w:val="4EEE4370"/>
    <w:rsid w:val="4F626B0C"/>
    <w:rsid w:val="4FF97471"/>
    <w:rsid w:val="50242014"/>
    <w:rsid w:val="51864D34"/>
    <w:rsid w:val="51932FAD"/>
    <w:rsid w:val="52C61160"/>
    <w:rsid w:val="52E635B0"/>
    <w:rsid w:val="530A729F"/>
    <w:rsid w:val="5334431C"/>
    <w:rsid w:val="5411465D"/>
    <w:rsid w:val="549C661D"/>
    <w:rsid w:val="552D54C7"/>
    <w:rsid w:val="55AC6D33"/>
    <w:rsid w:val="55AE6607"/>
    <w:rsid w:val="56293EE0"/>
    <w:rsid w:val="5632548A"/>
    <w:rsid w:val="564C7BCE"/>
    <w:rsid w:val="56674A08"/>
    <w:rsid w:val="570A5ABF"/>
    <w:rsid w:val="58382B00"/>
    <w:rsid w:val="58801DB1"/>
    <w:rsid w:val="58BA52C3"/>
    <w:rsid w:val="58D8399B"/>
    <w:rsid w:val="59F20A8D"/>
    <w:rsid w:val="5AAC50E0"/>
    <w:rsid w:val="5B0B0058"/>
    <w:rsid w:val="5BF84A80"/>
    <w:rsid w:val="5CEB1EEF"/>
    <w:rsid w:val="5D415FB3"/>
    <w:rsid w:val="5F17346F"/>
    <w:rsid w:val="5FFE462F"/>
    <w:rsid w:val="60F7091E"/>
    <w:rsid w:val="615362B5"/>
    <w:rsid w:val="61AD3C17"/>
    <w:rsid w:val="623C143F"/>
    <w:rsid w:val="63690012"/>
    <w:rsid w:val="639808F7"/>
    <w:rsid w:val="64065861"/>
    <w:rsid w:val="64630F05"/>
    <w:rsid w:val="64F953C5"/>
    <w:rsid w:val="65251CC2"/>
    <w:rsid w:val="657F58CB"/>
    <w:rsid w:val="65D54562"/>
    <w:rsid w:val="65DF45BB"/>
    <w:rsid w:val="66263F98"/>
    <w:rsid w:val="664F6F10"/>
    <w:rsid w:val="669E4476"/>
    <w:rsid w:val="66F978FF"/>
    <w:rsid w:val="676C5F79"/>
    <w:rsid w:val="67713939"/>
    <w:rsid w:val="67717495"/>
    <w:rsid w:val="677A617A"/>
    <w:rsid w:val="67D90CEF"/>
    <w:rsid w:val="67DB7004"/>
    <w:rsid w:val="68097A0E"/>
    <w:rsid w:val="683E1A6D"/>
    <w:rsid w:val="685079F2"/>
    <w:rsid w:val="6953779A"/>
    <w:rsid w:val="697A2F79"/>
    <w:rsid w:val="6A7A2B04"/>
    <w:rsid w:val="6B166CD1"/>
    <w:rsid w:val="6B2667E8"/>
    <w:rsid w:val="6B95409A"/>
    <w:rsid w:val="6BAF67DE"/>
    <w:rsid w:val="6BC524A5"/>
    <w:rsid w:val="6BF6440D"/>
    <w:rsid w:val="6CB70040"/>
    <w:rsid w:val="6D0F1C2A"/>
    <w:rsid w:val="6DA73C10"/>
    <w:rsid w:val="6E1312A6"/>
    <w:rsid w:val="6E364F94"/>
    <w:rsid w:val="6F2F0361"/>
    <w:rsid w:val="6F771D08"/>
    <w:rsid w:val="6FA26D85"/>
    <w:rsid w:val="709A3F00"/>
    <w:rsid w:val="7185070D"/>
    <w:rsid w:val="726C5429"/>
    <w:rsid w:val="73D414D7"/>
    <w:rsid w:val="741B5358"/>
    <w:rsid w:val="7452064E"/>
    <w:rsid w:val="75BA64AB"/>
    <w:rsid w:val="75DF4163"/>
    <w:rsid w:val="76D31F1A"/>
    <w:rsid w:val="7840538D"/>
    <w:rsid w:val="7A5F5873"/>
    <w:rsid w:val="7AB636E5"/>
    <w:rsid w:val="7B4707E1"/>
    <w:rsid w:val="7BE81FC4"/>
    <w:rsid w:val="7CB400F8"/>
    <w:rsid w:val="7D135677"/>
    <w:rsid w:val="7D755AD9"/>
    <w:rsid w:val="7D7B29C4"/>
    <w:rsid w:val="7EC34622"/>
    <w:rsid w:val="7ECB797B"/>
    <w:rsid w:val="7FD4460D"/>
    <w:rsid w:val="7FD543E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3" w:firstLineChars="200"/>
      <w:jc w:val="both"/>
    </w:pPr>
    <w:rPr>
      <w:rFonts w:ascii="Times New Roman" w:hAnsi="Times New Roman" w:eastAsia="宋体" w:cs="仿宋_GB2312"/>
      <w:b/>
      <w:kern w:val="2"/>
      <w:sz w:val="36"/>
      <w:szCs w:val="28"/>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semiHidden/>
    <w:unhideWhenUsed/>
    <w:qFormat/>
    <w:uiPriority w:val="0"/>
    <w:pPr>
      <w:spacing w:before="120" w:after="120" w:line="240" w:lineRule="auto"/>
      <w:ind w:firstLine="0" w:firstLineChars="0"/>
    </w:pPr>
    <w:rPr>
      <w:sz w:val="21"/>
      <w:szCs w:val="21"/>
    </w:rPr>
  </w:style>
  <w:style w:type="paragraph" w:styleId="3">
    <w:name w:val="annotation text"/>
    <w:basedOn w:val="1"/>
    <w:link w:val="19"/>
    <w:autoRedefine/>
    <w:qFormat/>
    <w:uiPriority w:val="0"/>
    <w:pPr>
      <w:jc w:val="left"/>
    </w:pPr>
  </w:style>
  <w:style w:type="paragraph" w:styleId="4">
    <w:name w:val="Body Text"/>
    <w:basedOn w:val="1"/>
    <w:link w:val="23"/>
    <w:autoRedefine/>
    <w:qFormat/>
    <w:uiPriority w:val="0"/>
  </w:style>
  <w:style w:type="paragraph" w:styleId="5">
    <w:name w:val="Balloon Text"/>
    <w:basedOn w:val="1"/>
    <w:link w:val="21"/>
    <w:autoRedefine/>
    <w:qFormat/>
    <w:uiPriority w:val="0"/>
    <w:pPr>
      <w:spacing w:line="240" w:lineRule="auto"/>
    </w:pPr>
    <w:rPr>
      <w:sz w:val="18"/>
      <w:szCs w:val="18"/>
    </w:rPr>
  </w:style>
  <w:style w:type="paragraph" w:styleId="6">
    <w:name w:val="footer"/>
    <w:basedOn w:val="1"/>
    <w:link w:val="18"/>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20"/>
    <w:autoRedefine/>
    <w:qFormat/>
    <w:uiPriority w:val="0"/>
    <w:rPr>
      <w:b w:val="0"/>
      <w:bCs/>
    </w:rPr>
  </w:style>
  <w:style w:type="table" w:styleId="10">
    <w:name w:val="Table Grid"/>
    <w:basedOn w:val="9"/>
    <w:autoRedefine/>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样式1"/>
    <w:basedOn w:val="1"/>
    <w:next w:val="1"/>
    <w:autoRedefine/>
    <w:qFormat/>
    <w:uiPriority w:val="0"/>
    <w:pPr>
      <w:keepNext/>
      <w:keepLines/>
      <w:spacing w:before="480" w:after="360" w:line="240" w:lineRule="auto"/>
      <w:ind w:firstLine="0" w:firstLineChars="0"/>
      <w:outlineLvl w:val="0"/>
    </w:pPr>
    <w:rPr>
      <w:rFonts w:eastAsia="黑体" w:cs="Times New Roman"/>
      <w:b w:val="0"/>
      <w:kern w:val="44"/>
      <w:sz w:val="30"/>
      <w:szCs w:val="30"/>
    </w:rPr>
  </w:style>
  <w:style w:type="paragraph" w:customStyle="1" w:styleId="14">
    <w:name w:val="样式2"/>
    <w:basedOn w:val="1"/>
    <w:autoRedefine/>
    <w:qFormat/>
    <w:uiPriority w:val="0"/>
    <w:pPr>
      <w:numPr>
        <w:ilvl w:val="1"/>
        <w:numId w:val="1"/>
      </w:numPr>
      <w:spacing w:before="520" w:after="120" w:line="240" w:lineRule="auto"/>
    </w:pPr>
    <w:rPr>
      <w:rFonts w:hint="eastAsia" w:eastAsia="黑体" w:cs="黑体"/>
      <w:b w:val="0"/>
      <w:bCs/>
      <w:sz w:val="28"/>
    </w:rPr>
  </w:style>
  <w:style w:type="paragraph" w:customStyle="1" w:styleId="15">
    <w:name w:val="样式3"/>
    <w:basedOn w:val="1"/>
    <w:next w:val="1"/>
    <w:autoRedefine/>
    <w:qFormat/>
    <w:uiPriority w:val="0"/>
    <w:pPr>
      <w:spacing w:before="240" w:after="120" w:line="240" w:lineRule="auto"/>
      <w:ind w:firstLine="0" w:firstLineChars="0"/>
      <w:outlineLvl w:val="2"/>
    </w:pPr>
    <w:rPr>
      <w:rFonts w:eastAsia="黑体" w:cs="Times New Roman"/>
      <w:b w:val="0"/>
      <w:kern w:val="0"/>
    </w:rPr>
  </w:style>
  <w:style w:type="paragraph" w:customStyle="1" w:styleId="16">
    <w:name w:val="EndNote Bibliography"/>
    <w:autoRedefine/>
    <w:qFormat/>
    <w:uiPriority w:val="0"/>
    <w:pPr>
      <w:jc w:val="both"/>
    </w:pPr>
    <w:rPr>
      <w:rFonts w:ascii="Times New Roman" w:hAnsi="Times New Roman" w:eastAsia="Times New Roman" w:cs="Calibri"/>
      <w:kern w:val="2"/>
      <w:szCs w:val="21"/>
      <w:lang w:val="en-US" w:eastAsia="zh-CN" w:bidi="ar-SA"/>
    </w:rPr>
  </w:style>
  <w:style w:type="character" w:customStyle="1" w:styleId="17">
    <w:name w:val="页眉 Char"/>
    <w:basedOn w:val="11"/>
    <w:link w:val="7"/>
    <w:autoRedefine/>
    <w:qFormat/>
    <w:uiPriority w:val="0"/>
    <w:rPr>
      <w:kern w:val="2"/>
      <w:sz w:val="18"/>
      <w:szCs w:val="18"/>
    </w:rPr>
  </w:style>
  <w:style w:type="character" w:customStyle="1" w:styleId="18">
    <w:name w:val="页脚 Char"/>
    <w:basedOn w:val="11"/>
    <w:link w:val="6"/>
    <w:autoRedefine/>
    <w:qFormat/>
    <w:uiPriority w:val="99"/>
    <w:rPr>
      <w:kern w:val="2"/>
      <w:sz w:val="18"/>
      <w:szCs w:val="18"/>
    </w:rPr>
  </w:style>
  <w:style w:type="character" w:customStyle="1" w:styleId="19">
    <w:name w:val="批注文字 Char"/>
    <w:basedOn w:val="11"/>
    <w:link w:val="3"/>
    <w:autoRedefine/>
    <w:qFormat/>
    <w:uiPriority w:val="0"/>
    <w:rPr>
      <w:kern w:val="2"/>
      <w:sz w:val="24"/>
      <w:szCs w:val="24"/>
    </w:rPr>
  </w:style>
  <w:style w:type="character" w:customStyle="1" w:styleId="20">
    <w:name w:val="批注主题 Char"/>
    <w:basedOn w:val="19"/>
    <w:link w:val="8"/>
    <w:autoRedefine/>
    <w:qFormat/>
    <w:uiPriority w:val="0"/>
    <w:rPr>
      <w:b/>
      <w:bCs/>
      <w:kern w:val="2"/>
      <w:sz w:val="24"/>
      <w:szCs w:val="24"/>
    </w:rPr>
  </w:style>
  <w:style w:type="character" w:customStyle="1" w:styleId="21">
    <w:name w:val="批注框文本 Char"/>
    <w:basedOn w:val="11"/>
    <w:link w:val="5"/>
    <w:autoRedefine/>
    <w:qFormat/>
    <w:uiPriority w:val="0"/>
    <w:rPr>
      <w:kern w:val="2"/>
      <w:sz w:val="18"/>
      <w:szCs w:val="18"/>
    </w:rPr>
  </w:style>
  <w:style w:type="paragraph" w:styleId="22">
    <w:name w:val="List Paragraph"/>
    <w:basedOn w:val="1"/>
    <w:autoRedefine/>
    <w:qFormat/>
    <w:uiPriority w:val="99"/>
    <w:pPr>
      <w:numPr>
        <w:ilvl w:val="0"/>
        <w:numId w:val="2"/>
      </w:numPr>
      <w:ind w:left="0" w:firstLine="643"/>
    </w:pPr>
    <w:rPr>
      <w:rFonts w:eastAsia="仿宋_GB2312"/>
      <w:sz w:val="32"/>
    </w:rPr>
  </w:style>
  <w:style w:type="character" w:customStyle="1" w:styleId="23">
    <w:name w:val="正文文本 Char"/>
    <w:basedOn w:val="11"/>
    <w:link w:val="4"/>
    <w:autoRedefine/>
    <w:qFormat/>
    <w:uiPriority w:val="0"/>
    <w:rPr>
      <w:rFonts w:ascii="Times New Roman" w:hAnsi="Times New Roman" w:eastAsia="宋体" w:cs="仿宋_GB2312"/>
      <w:b/>
      <w:kern w:val="2"/>
      <w:sz w:val="36"/>
      <w:szCs w:val="28"/>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E6A99-21A2-426F-8C10-9BE9061B1810}">
  <ds:schemaRefs/>
</ds:datastoreItem>
</file>

<file path=docProps/app.xml><?xml version="1.0" encoding="utf-8"?>
<Properties xmlns="http://schemas.openxmlformats.org/officeDocument/2006/extended-properties" xmlns:vt="http://schemas.openxmlformats.org/officeDocument/2006/docPropsVTypes">
  <Template>Normal</Template>
  <Pages>9</Pages>
  <Words>655</Words>
  <Characters>3735</Characters>
  <Lines>31</Lines>
  <Paragraphs>8</Paragraphs>
  <TotalTime>5</TotalTime>
  <ScaleCrop>false</ScaleCrop>
  <LinksUpToDate>false</LinksUpToDate>
  <CharactersWithSpaces>4382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2023-06-29T01:19:00Z</dcterms:created>
  <dc:creator>14338</dc:creator>
  <cp:lastModifiedBy>皮卡乒乓乒乓乒乓兵。</cp:lastModifiedBy>
  <cp:lastPrinted>2024-03-18T04:00:00Z</cp:lastPrinted>
  <dcterms:modified xsi:type="dcterms:W3CDTF">2024-03-21T03:10:53Z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570228639BFD4B6E93D186E63CB469C9_12</vt:lpwstr>
  </property>
</Properties>
</file>