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20" w:lineRule="atLeast"/>
        <w:jc w:val="center"/>
        <w:rPr>
          <w:rFonts w:ascii="华文中宋" w:hAnsi="华文中宋" w:eastAsia="华文中宋" w:cs="宋体"/>
          <w:b/>
          <w:bCs/>
          <w:kern w:val="0"/>
          <w:sz w:val="44"/>
          <w:szCs w:val="44"/>
        </w:rPr>
      </w:pPr>
      <w:bookmarkStart w:id="0" w:name="_GoBack"/>
      <w:bookmarkEnd w:id="0"/>
      <w:r>
        <w:rPr>
          <w:rFonts w:ascii="华文中宋" w:hAnsi="华文中宋" w:eastAsia="华文中宋" w:cs="宋体"/>
          <w:b/>
          <w:bCs/>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宋体"/>
          <w:b/>
          <w:bCs/>
          <w:kern w:val="0"/>
          <w:sz w:val="44"/>
          <w:szCs w:val="44"/>
        </w:rPr>
        <w:instrText xml:space="preserve">ADDIN CNKISM.UserStyle</w:instrText>
      </w:r>
      <w:r>
        <w:rPr>
          <w:rFonts w:ascii="华文中宋" w:hAnsi="华文中宋" w:eastAsia="华文中宋" w:cs="宋体"/>
          <w:b/>
          <w:bCs/>
          <w:kern w:val="0"/>
          <w:sz w:val="44"/>
          <w:szCs w:val="44"/>
        </w:rPr>
        <w:fldChar w:fldCharType="end"/>
      </w:r>
      <w:r>
        <w:rPr>
          <w:rFonts w:hint="eastAsia" w:ascii="华文中宋" w:hAnsi="华文中宋" w:eastAsia="华文中宋" w:cs="宋体"/>
          <w:b/>
          <w:bCs/>
          <w:kern w:val="0"/>
          <w:sz w:val="44"/>
          <w:szCs w:val="44"/>
        </w:rPr>
        <w:t>国有资产评估管理办法</w:t>
      </w:r>
    </w:p>
    <w:p>
      <w:pPr>
        <w:widowControl/>
        <w:shd w:val="clear" w:color="auto" w:fill="FFFFFF"/>
        <w:adjustRightInd w:val="0"/>
        <w:snapToGrid w:val="0"/>
        <w:spacing w:line="620" w:lineRule="atLeas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（公开征求意见稿）</w:t>
      </w:r>
    </w:p>
    <w:p>
      <w:pPr>
        <w:widowControl/>
        <w:shd w:val="clear" w:color="auto" w:fill="FFFFFF"/>
        <w:adjustRightInd w:val="0"/>
        <w:snapToGrid w:val="0"/>
        <w:spacing w:line="620" w:lineRule="atLeast"/>
        <w:jc w:val="center"/>
        <w:rPr>
          <w:rFonts w:hint="eastAsia" w:ascii="仿宋_GB2312" w:hAnsi="宋体" w:eastAsia="仿宋_GB2312" w:cs="宋体"/>
          <w:kern w:val="0"/>
          <w:sz w:val="32"/>
          <w:szCs w:val="32"/>
        </w:rPr>
      </w:pPr>
    </w:p>
    <w:p>
      <w:pPr>
        <w:pStyle w:val="2"/>
        <w:spacing w:before="0" w:after="0" w:line="620" w:lineRule="atLeast"/>
        <w:jc w:val="center"/>
        <w:rPr>
          <w:rFonts w:ascii="黑体" w:hAnsi="黑体" w:eastAsia="黑体"/>
        </w:rPr>
      </w:pPr>
      <w:r>
        <w:rPr>
          <w:rFonts w:hint="eastAsia" w:ascii="黑体" w:hAnsi="黑体" w:eastAsia="黑体"/>
        </w:rPr>
        <w:t>第一章　总则</w:t>
      </w:r>
    </w:p>
    <w:p>
      <w:pPr>
        <w:adjustRightInd w:val="0"/>
        <w:snapToGrid w:val="0"/>
        <w:spacing w:line="620" w:lineRule="atLeast"/>
        <w:ind w:firstLine="646" w:firstLineChars="201"/>
        <w:rPr>
          <w:rFonts w:ascii="仿宋_GB2312" w:hAnsi="仿宋" w:eastAsia="仿宋_GB2312" w:cs="宋体"/>
          <w:kern w:val="0"/>
          <w:sz w:val="32"/>
          <w:szCs w:val="32"/>
        </w:rPr>
      </w:pPr>
      <w:r>
        <w:rPr>
          <w:rFonts w:hint="eastAsia" w:ascii="仿宋_GB2312" w:hAnsi="仿宋" w:eastAsia="仿宋_GB2312"/>
          <w:b/>
          <w:sz w:val="32"/>
          <w:szCs w:val="32"/>
        </w:rPr>
        <w:t xml:space="preserve">第一条 </w:t>
      </w:r>
      <w:r>
        <w:rPr>
          <w:rFonts w:hint="eastAsia" w:ascii="仿宋_GB2312" w:hAnsi="仿宋" w:eastAsia="仿宋_GB2312" w:cs="宋体"/>
          <w:kern w:val="0"/>
          <w:sz w:val="32"/>
          <w:szCs w:val="32"/>
        </w:rPr>
        <w:t>为加强国有资产管理，规范国有资产评估行为，有效防止国有资产流失，根据《中华人民共和国企业国有资产法》《中华人民共和国资产评估法》等相关法律、行政法规，制定本办法。</w:t>
      </w:r>
    </w:p>
    <w:p>
      <w:pPr>
        <w:adjustRightInd w:val="0"/>
        <w:snapToGrid w:val="0"/>
        <w:spacing w:line="620" w:lineRule="atLeast"/>
        <w:ind w:firstLine="646" w:firstLineChars="201"/>
        <w:rPr>
          <w:rFonts w:ascii="仿宋_GB2312" w:hAnsi="仿宋" w:eastAsia="仿宋_GB2312" w:cs="宋体"/>
          <w:kern w:val="0"/>
          <w:sz w:val="32"/>
          <w:szCs w:val="32"/>
        </w:rPr>
      </w:pPr>
      <w:r>
        <w:rPr>
          <w:rFonts w:hint="eastAsia" w:ascii="仿宋_GB2312" w:hAnsi="仿宋" w:eastAsia="仿宋_GB2312"/>
          <w:b/>
          <w:sz w:val="32"/>
          <w:szCs w:val="32"/>
        </w:rPr>
        <w:t xml:space="preserve">第二条 </w:t>
      </w:r>
      <w:r>
        <w:rPr>
          <w:rFonts w:ascii="仿宋_GB2312" w:hAnsi="仿宋" w:eastAsia="仿宋_GB2312" w:cs="宋体"/>
          <w:kern w:val="0"/>
          <w:sz w:val="32"/>
          <w:szCs w:val="32"/>
        </w:rPr>
        <w:t>本办法所称国有资产评估，是指评估机构</w:t>
      </w:r>
      <w:r>
        <w:rPr>
          <w:rFonts w:hint="eastAsia" w:ascii="仿宋_GB2312" w:hAnsi="仿宋" w:eastAsia="仿宋_GB2312" w:cs="宋体"/>
          <w:kern w:val="0"/>
          <w:sz w:val="32"/>
          <w:szCs w:val="32"/>
        </w:rPr>
        <w:t>根据委托，对国有单位相关经济行为所涉及的国有资产或者非国有资产的经济权益进行评定、估算，并出具评估报告的专业服务行为。</w:t>
      </w:r>
    </w:p>
    <w:p>
      <w:pPr>
        <w:adjustRightInd w:val="0"/>
        <w:snapToGrid w:val="0"/>
        <w:spacing w:line="620" w:lineRule="atLeast"/>
        <w:ind w:firstLine="643" w:firstLineChars="201"/>
        <w:rPr>
          <w:rFonts w:ascii="仿宋_GB2312" w:hAnsi="仿宋" w:eastAsia="仿宋_GB2312" w:cs="宋体"/>
          <w:kern w:val="0"/>
          <w:sz w:val="32"/>
          <w:szCs w:val="32"/>
        </w:rPr>
      </w:pPr>
      <w:r>
        <w:rPr>
          <w:rFonts w:hint="eastAsia" w:ascii="仿宋_GB2312" w:hAnsi="仿宋" w:eastAsia="仿宋_GB2312" w:cs="宋体"/>
          <w:kern w:val="0"/>
          <w:sz w:val="32"/>
          <w:szCs w:val="32"/>
        </w:rPr>
        <w:t>本办法所称国有单位，是指政府部门、机构、事业单位，国有及国有控股企业、国有实际控制企业、政府投资基金等国有资产产权持有单位。</w:t>
      </w:r>
    </w:p>
    <w:p>
      <w:pPr>
        <w:adjustRightInd w:val="0"/>
        <w:snapToGrid w:val="0"/>
        <w:spacing w:line="620" w:lineRule="atLeast"/>
        <w:ind w:firstLine="646" w:firstLineChars="201"/>
        <w:rPr>
          <w:rFonts w:ascii="仿宋_GB2312" w:hAnsi="仿宋" w:eastAsia="仿宋_GB2312" w:cs="宋体"/>
          <w:kern w:val="0"/>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国有资产评估业务属于法定资产评估业务。</w:t>
      </w:r>
      <w:r>
        <w:rPr>
          <w:rFonts w:hint="eastAsia" w:ascii="仿宋_GB2312" w:hAnsi="仿宋" w:eastAsia="仿宋_GB2312" w:cs="宋体"/>
          <w:kern w:val="0"/>
          <w:sz w:val="32"/>
          <w:szCs w:val="32"/>
        </w:rPr>
        <w:t>国有资产评估，除法律、行政法规另有规定外，适用本办法。</w:t>
      </w:r>
    </w:p>
    <w:p>
      <w:pPr>
        <w:adjustRightInd w:val="0"/>
        <w:snapToGrid w:val="0"/>
        <w:spacing w:line="620" w:lineRule="atLeast"/>
        <w:ind w:firstLine="646" w:firstLineChars="201"/>
        <w:rPr>
          <w:rFonts w:ascii="仿宋_GB2312" w:hAnsi="仿宋" w:eastAsia="仿宋_GB2312" w:cs="宋体"/>
          <w:kern w:val="0"/>
          <w:sz w:val="32"/>
          <w:szCs w:val="32"/>
        </w:rPr>
      </w:pPr>
      <w:r>
        <w:rPr>
          <w:rFonts w:hint="eastAsia" w:ascii="仿宋_GB2312" w:hAnsi="仿宋" w:eastAsia="仿宋_GB2312"/>
          <w:b/>
          <w:sz w:val="32"/>
          <w:szCs w:val="32"/>
        </w:rPr>
        <w:t xml:space="preserve">第四条 </w:t>
      </w:r>
      <w:r>
        <w:rPr>
          <w:rFonts w:hint="eastAsia" w:ascii="仿宋_GB2312" w:hAnsi="仿宋" w:eastAsia="仿宋_GB2312" w:cs="宋体"/>
          <w:kern w:val="0"/>
          <w:sz w:val="32"/>
          <w:szCs w:val="32"/>
        </w:rPr>
        <w:t>国有资产监督管理机构根据需要，可以授权国有单位在其管理权限范围内对国有资产评估行为进行监督管理。</w:t>
      </w:r>
    </w:p>
    <w:p>
      <w:pPr>
        <w:pStyle w:val="2"/>
        <w:spacing w:before="0" w:after="0" w:line="620" w:lineRule="atLeast"/>
        <w:jc w:val="center"/>
        <w:rPr>
          <w:rFonts w:ascii="黑体" w:hAnsi="黑体" w:eastAsia="黑体"/>
        </w:rPr>
      </w:pPr>
      <w:r>
        <w:rPr>
          <w:rFonts w:hint="eastAsia" w:ascii="黑体" w:hAnsi="黑体" w:eastAsia="黑体"/>
        </w:rPr>
        <w:t>第二章　资产评估管理</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国有单位有下列行为的，应当对相关资产进行资产评估：</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整体或者部分改制为有限责任公司或者股份有限公司；</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合并、分立、收购、清算；</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以非货币资产对外投资、接受非货币资产出资；</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债权转股权；</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产权转让；</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cs="宋体"/>
          <w:kern w:val="0"/>
          <w:sz w:val="32"/>
          <w:szCs w:val="32"/>
        </w:rPr>
        <w:t>除上市公司以外的国有股东股权比例变动</w:t>
      </w:r>
      <w:r>
        <w:rPr>
          <w:rFonts w:hint="eastAsia" w:ascii="仿宋_GB2312" w:hAnsi="仿宋" w:eastAsia="仿宋_GB2312"/>
          <w:sz w:val="32"/>
          <w:szCs w:val="32"/>
        </w:rPr>
        <w:t>；</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资产转让、置换、租赁；</w:t>
      </w:r>
    </w:p>
    <w:p>
      <w:pPr>
        <w:pStyle w:val="15"/>
        <w:numPr>
          <w:ilvl w:val="0"/>
          <w:numId w:val="1"/>
        </w:numPr>
        <w:tabs>
          <w:tab w:val="left" w:pos="1418"/>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以非货币资产偿还债务、</w:t>
      </w:r>
      <w:r>
        <w:rPr>
          <w:rFonts w:ascii="仿宋_GB2312" w:hAnsi="仿宋" w:eastAsia="仿宋_GB2312"/>
          <w:sz w:val="32"/>
          <w:szCs w:val="32"/>
        </w:rPr>
        <w:t>接受非货币性资产</w:t>
      </w:r>
      <w:r>
        <w:rPr>
          <w:rFonts w:hint="eastAsia" w:ascii="仿宋_GB2312" w:hAnsi="仿宋" w:eastAsia="仿宋_GB2312"/>
          <w:sz w:val="32"/>
          <w:szCs w:val="32"/>
        </w:rPr>
        <w:t>抵债；</w:t>
      </w:r>
    </w:p>
    <w:p>
      <w:pPr>
        <w:pStyle w:val="15"/>
        <w:numPr>
          <w:ilvl w:val="0"/>
          <w:numId w:val="1"/>
        </w:numPr>
        <w:tabs>
          <w:tab w:val="left" w:pos="1418"/>
          <w:tab w:val="left" w:pos="1701"/>
          <w:tab w:val="left" w:pos="1843"/>
        </w:tabs>
        <w:adjustRightInd w:val="0"/>
        <w:snapToGrid w:val="0"/>
        <w:spacing w:line="620" w:lineRule="atLeast"/>
        <w:ind w:left="0" w:firstLine="643" w:firstLineChars="201"/>
        <w:rPr>
          <w:rFonts w:ascii="仿宋_GB2312" w:hAnsi="仿宋" w:eastAsia="仿宋_GB2312"/>
          <w:sz w:val="32"/>
          <w:szCs w:val="32"/>
        </w:rPr>
      </w:pPr>
      <w:r>
        <w:rPr>
          <w:rFonts w:ascii="仿宋_GB2312" w:hAnsi="仿宋" w:eastAsia="仿宋_GB2312"/>
          <w:sz w:val="32"/>
          <w:szCs w:val="32"/>
        </w:rPr>
        <w:t>接受非货币性资产抵押或者质押；</w:t>
      </w:r>
    </w:p>
    <w:p>
      <w:pPr>
        <w:pStyle w:val="15"/>
        <w:numPr>
          <w:ilvl w:val="0"/>
          <w:numId w:val="1"/>
        </w:numPr>
        <w:tabs>
          <w:tab w:val="left" w:pos="1418"/>
          <w:tab w:val="left" w:pos="1701"/>
        </w:tabs>
        <w:adjustRightInd w:val="0"/>
        <w:snapToGrid w:val="0"/>
        <w:spacing w:line="620" w:lineRule="atLeast"/>
        <w:ind w:left="0" w:firstLine="643" w:firstLineChars="201"/>
        <w:rPr>
          <w:rFonts w:ascii="仿宋_GB2312" w:hAnsi="仿宋" w:eastAsia="仿宋_GB2312"/>
          <w:sz w:val="32"/>
          <w:szCs w:val="32"/>
        </w:rPr>
      </w:pPr>
      <w:r>
        <w:rPr>
          <w:rFonts w:hint="eastAsia" w:ascii="仿宋_GB2312" w:hAnsi="仿宋" w:eastAsia="仿宋_GB2312"/>
          <w:sz w:val="32"/>
          <w:szCs w:val="32"/>
        </w:rPr>
        <w:t>国有资产监督管理机构规定应当进行资产评估的其他情形。</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第六条 </w:t>
      </w:r>
      <w:r>
        <w:rPr>
          <w:rFonts w:hint="eastAsia" w:ascii="仿宋_GB2312" w:hAnsi="仿宋" w:eastAsia="仿宋_GB2312"/>
          <w:sz w:val="32"/>
          <w:szCs w:val="32"/>
        </w:rPr>
        <w:t>国有单位下列行为，可以不进行资产评估：</w:t>
      </w:r>
    </w:p>
    <w:p>
      <w:pPr>
        <w:pStyle w:val="15"/>
        <w:numPr>
          <w:ilvl w:val="0"/>
          <w:numId w:val="2"/>
        </w:numPr>
        <w:tabs>
          <w:tab w:val="left" w:pos="780"/>
          <w:tab w:val="left" w:pos="1276"/>
          <w:tab w:val="left" w:pos="1418"/>
        </w:tabs>
        <w:adjustRightInd w:val="0"/>
        <w:snapToGrid w:val="0"/>
        <w:spacing w:line="620" w:lineRule="atLeast"/>
        <w:ind w:left="1" w:firstLine="643" w:firstLineChars="201"/>
        <w:rPr>
          <w:rFonts w:ascii="仿宋_GB2312" w:hAnsi="仿宋" w:eastAsia="仿宋_GB2312"/>
          <w:sz w:val="32"/>
          <w:szCs w:val="32"/>
        </w:rPr>
      </w:pPr>
      <w:r>
        <w:rPr>
          <w:rFonts w:hint="eastAsia" w:ascii="仿宋_GB2312" w:hAnsi="仿宋" w:eastAsia="仿宋_GB2312"/>
          <w:sz w:val="32"/>
          <w:szCs w:val="32"/>
        </w:rPr>
        <w:t>经各级人民政府或者国有资产监督管理机构批准，实施无偿划转资产的；</w:t>
      </w:r>
    </w:p>
    <w:p>
      <w:pPr>
        <w:pStyle w:val="15"/>
        <w:numPr>
          <w:ilvl w:val="0"/>
          <w:numId w:val="2"/>
        </w:numPr>
        <w:tabs>
          <w:tab w:val="left" w:pos="780"/>
          <w:tab w:val="left" w:pos="1276"/>
          <w:tab w:val="left" w:pos="1418"/>
        </w:tabs>
        <w:adjustRightInd w:val="0"/>
        <w:snapToGrid w:val="0"/>
        <w:spacing w:line="620" w:lineRule="atLeast"/>
        <w:ind w:left="1" w:firstLine="643" w:firstLineChars="201"/>
        <w:rPr>
          <w:rFonts w:ascii="仿宋_GB2312" w:hAnsi="仿宋" w:eastAsia="仿宋_GB2312"/>
          <w:sz w:val="32"/>
          <w:szCs w:val="32"/>
        </w:rPr>
      </w:pPr>
      <w:r>
        <w:rPr>
          <w:rFonts w:hint="eastAsia" w:ascii="仿宋_GB2312" w:hAnsi="仿宋" w:eastAsia="仿宋_GB2312"/>
          <w:sz w:val="32"/>
          <w:szCs w:val="32"/>
        </w:rPr>
        <w:t>政府部门、机构、事业单位、国有独资企业之间实施合并、分立以及其他经济行为的；</w:t>
      </w:r>
    </w:p>
    <w:p>
      <w:pPr>
        <w:pStyle w:val="15"/>
        <w:numPr>
          <w:ilvl w:val="0"/>
          <w:numId w:val="2"/>
        </w:numPr>
        <w:tabs>
          <w:tab w:val="left" w:pos="780"/>
          <w:tab w:val="left" w:pos="1276"/>
          <w:tab w:val="left" w:pos="1418"/>
        </w:tabs>
        <w:adjustRightInd w:val="0"/>
        <w:snapToGrid w:val="0"/>
        <w:spacing w:line="620" w:lineRule="atLeast"/>
        <w:ind w:left="1" w:firstLine="643" w:firstLineChars="201"/>
        <w:rPr>
          <w:rFonts w:ascii="仿宋_GB2312" w:hAnsi="仿宋" w:eastAsia="仿宋_GB2312"/>
          <w:sz w:val="32"/>
          <w:szCs w:val="32"/>
        </w:rPr>
      </w:pPr>
      <w:r>
        <w:rPr>
          <w:rFonts w:hint="eastAsia" w:ascii="仿宋_GB2312" w:hAnsi="仿宋" w:eastAsia="仿宋_GB2312"/>
          <w:sz w:val="32"/>
          <w:szCs w:val="32"/>
        </w:rPr>
        <w:t>发生多次同类型经济行为时，同一资产在评估报告使用有效期内，并且资产、市场状况未发生重大变化的；</w:t>
      </w:r>
    </w:p>
    <w:p>
      <w:pPr>
        <w:pStyle w:val="15"/>
        <w:numPr>
          <w:ilvl w:val="0"/>
          <w:numId w:val="2"/>
        </w:numPr>
        <w:tabs>
          <w:tab w:val="left" w:pos="780"/>
          <w:tab w:val="left" w:pos="1276"/>
          <w:tab w:val="left" w:pos="1418"/>
        </w:tabs>
        <w:adjustRightInd w:val="0"/>
        <w:snapToGrid w:val="0"/>
        <w:spacing w:line="620" w:lineRule="atLeast"/>
        <w:ind w:left="1" w:firstLine="643" w:firstLineChars="201"/>
        <w:rPr>
          <w:rFonts w:ascii="仿宋_GB2312" w:hAnsi="仿宋" w:eastAsia="仿宋_GB2312"/>
          <w:sz w:val="32"/>
          <w:szCs w:val="32"/>
        </w:rPr>
      </w:pPr>
      <w:r>
        <w:rPr>
          <w:rFonts w:hint="eastAsia" w:ascii="仿宋_GB2312" w:hAnsi="仿宋" w:eastAsia="仿宋_GB2312"/>
          <w:sz w:val="32"/>
          <w:szCs w:val="32"/>
        </w:rPr>
        <w:t>国家有关法律、行政法规以及国有资产监督管理机构规定以其他方式确定价值的。</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国有单位有权自主选择符合规定的评估机构，任何组织或者个人不得非法限制或者干预。国有单位按照以下程序确定资产评估项目委托人：</w:t>
      </w:r>
    </w:p>
    <w:p>
      <w:pPr>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（一）国有单位依法委托评估机构对相关国有资产进行资产评估，委托人和被评估单位不得非法干预评估机构正常执业；</w:t>
      </w:r>
    </w:p>
    <w:p>
      <w:pPr>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（二）接受非国有资产的国有单位依法委托评估机构对相关非国有资产进行资产评估；</w:t>
      </w:r>
    </w:p>
    <w:p>
      <w:pPr>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（三）按照前两款确定的委托人涉及两个以上国有单位的，经全体当事人协商一致，可以共同委托或者授权其中一个当事人委托评估机构进行资产评估；</w:t>
      </w:r>
    </w:p>
    <w:p>
      <w:pPr>
        <w:adjustRightInd w:val="0"/>
        <w:snapToGrid w:val="0"/>
        <w:spacing w:line="620" w:lineRule="atLeast"/>
        <w:ind w:firstLine="643" w:firstLineChars="201"/>
        <w:rPr>
          <w:rFonts w:ascii="仿宋_GB2312" w:eastAsia="仿宋_GB2312"/>
          <w:sz w:val="32"/>
          <w:szCs w:val="32"/>
        </w:rPr>
      </w:pPr>
      <w:r>
        <w:rPr>
          <w:rFonts w:hint="eastAsia" w:ascii="仿宋_GB2312" w:hAnsi="仿宋" w:eastAsia="仿宋_GB2312"/>
          <w:sz w:val="32"/>
          <w:szCs w:val="32"/>
        </w:rPr>
        <w:t>（四）在符合前三款规定的情况下，国有单位</w:t>
      </w:r>
      <w:r>
        <w:rPr>
          <w:rFonts w:hint="eastAsia" w:ascii="仿宋_GB2312" w:eastAsia="仿宋_GB2312"/>
          <w:sz w:val="32"/>
          <w:szCs w:val="32"/>
        </w:rPr>
        <w:t>可以与被评估单位等其他相关当事人共同委托</w:t>
      </w:r>
      <w:r>
        <w:rPr>
          <w:rFonts w:hint="eastAsia" w:ascii="仿宋_GB2312" w:hAnsi="仿宋" w:eastAsia="仿宋_GB2312"/>
          <w:sz w:val="32"/>
          <w:szCs w:val="32"/>
        </w:rPr>
        <w:t>评估机构进行资产评估</w:t>
      </w:r>
      <w:r>
        <w:rPr>
          <w:rFonts w:hint="eastAsia" w:ascii="仿宋_GB2312" w:eastAsia="仿宋_GB2312"/>
          <w:sz w:val="32"/>
          <w:szCs w:val="32"/>
        </w:rPr>
        <w:t>。</w:t>
      </w:r>
    </w:p>
    <w:p>
      <w:pPr>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国有单位委托评估机构应当对其提供的权属证明、财务会计信息和其他资料的真实性、完整性和合法性负责。</w:t>
      </w:r>
    </w:p>
    <w:p>
      <w:pPr>
        <w:adjustRightInd w:val="0"/>
        <w:snapToGrid w:val="0"/>
        <w:spacing w:line="620" w:lineRule="atLeast"/>
        <w:ind w:firstLine="646" w:firstLineChars="201"/>
        <w:rPr>
          <w:rFonts w:ascii="仿宋_GB2312" w:hAnsi="仿宋" w:eastAsia="仿宋_GB2312"/>
          <w:b/>
          <w:sz w:val="32"/>
          <w:szCs w:val="32"/>
        </w:rPr>
      </w:pPr>
      <w:r>
        <w:rPr>
          <w:rFonts w:hint="eastAsia" w:ascii="仿宋_GB2312" w:hAnsi="仿宋" w:eastAsia="仿宋_GB2312"/>
          <w:b/>
          <w:sz w:val="32"/>
          <w:szCs w:val="32"/>
        </w:rPr>
        <w:t xml:space="preserve">第八条 </w:t>
      </w:r>
      <w:r>
        <w:rPr>
          <w:rFonts w:hint="eastAsia" w:ascii="仿宋_GB2312" w:hAnsi="仿宋" w:eastAsia="仿宋_GB2312"/>
          <w:sz w:val="32"/>
          <w:szCs w:val="32"/>
        </w:rPr>
        <w:t>国有资产监督管理机构及其授权的国有单位按照各自职责权限办理资产评估项目核准或备案程序。</w:t>
      </w:r>
    </w:p>
    <w:p>
      <w:pPr>
        <w:adjustRightInd w:val="0"/>
        <w:snapToGrid w:val="0"/>
        <w:spacing w:line="620" w:lineRule="atLeast"/>
        <w:ind w:firstLine="643" w:firstLineChars="201"/>
        <w:rPr>
          <w:rFonts w:ascii="仿宋_GB2312" w:hAnsi="仿宋" w:eastAsia="仿宋_GB2312" w:cs="宋体"/>
          <w:kern w:val="0"/>
          <w:sz w:val="32"/>
          <w:szCs w:val="32"/>
        </w:rPr>
      </w:pPr>
      <w:r>
        <w:rPr>
          <w:rFonts w:hint="eastAsia" w:ascii="仿宋_GB2312" w:hAnsi="仿宋" w:eastAsia="仿宋_GB2312" w:cs="宋体"/>
          <w:kern w:val="0"/>
          <w:sz w:val="32"/>
          <w:szCs w:val="32"/>
        </w:rPr>
        <w:t>（一）经各级人民政府批准经济行为的事项涉及的国有资产评估项目，由其授权的国有资产监督管理机构负责核准；</w:t>
      </w:r>
    </w:p>
    <w:p>
      <w:pPr>
        <w:adjustRightInd w:val="0"/>
        <w:snapToGrid w:val="0"/>
        <w:spacing w:line="620" w:lineRule="atLeast"/>
        <w:ind w:firstLine="643" w:firstLineChars="201"/>
        <w:rPr>
          <w:rFonts w:ascii="仿宋_GB2312" w:hAnsi="仿宋" w:eastAsia="仿宋_GB2312" w:cs="宋体"/>
          <w:kern w:val="0"/>
          <w:sz w:val="32"/>
          <w:szCs w:val="32"/>
        </w:rPr>
      </w:pPr>
      <w:r>
        <w:rPr>
          <w:rFonts w:hint="eastAsia" w:ascii="仿宋_GB2312" w:hAnsi="仿宋" w:eastAsia="仿宋_GB2312" w:cs="宋体"/>
          <w:kern w:val="0"/>
          <w:sz w:val="32"/>
          <w:szCs w:val="32"/>
        </w:rPr>
        <w:t>（二）经国有资产监督管理机构批准经济行为的事项涉及的国有资产评估项目，由该国有资产监督管理机构负责核准；</w:t>
      </w:r>
    </w:p>
    <w:p>
      <w:pPr>
        <w:adjustRightInd w:val="0"/>
        <w:snapToGrid w:val="0"/>
        <w:spacing w:line="620" w:lineRule="atLeast"/>
        <w:ind w:firstLine="643" w:firstLineChars="201"/>
        <w:rPr>
          <w:rFonts w:ascii="仿宋_GB2312" w:hAnsi="仿宋" w:eastAsia="仿宋_GB2312" w:cs="宋体"/>
          <w:kern w:val="0"/>
          <w:sz w:val="32"/>
          <w:szCs w:val="32"/>
        </w:rPr>
      </w:pPr>
      <w:r>
        <w:rPr>
          <w:rFonts w:hint="eastAsia" w:ascii="仿宋_GB2312" w:hAnsi="仿宋" w:eastAsia="仿宋_GB2312" w:cs="宋体"/>
          <w:kern w:val="0"/>
          <w:sz w:val="32"/>
          <w:szCs w:val="32"/>
        </w:rPr>
        <w:t>（三）经国有单位批准经济行为的事项涉及的国有资产评估项目，由经国有资产监督管理机构授权的国有单位负责备案。</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第九条 </w:t>
      </w:r>
      <w:r>
        <w:rPr>
          <w:rFonts w:hint="eastAsia" w:ascii="仿宋_GB2312" w:hAnsi="仿宋" w:eastAsia="仿宋_GB2312"/>
          <w:sz w:val="32"/>
          <w:szCs w:val="32"/>
        </w:rPr>
        <w:t>资产评估项目核准或备案是国有单位办理产权登记、股权设置、产权转让等的必要程序。</w:t>
      </w:r>
      <w:r>
        <w:rPr>
          <w:rFonts w:ascii="仿宋_GB2312" w:hAnsi="仿宋" w:eastAsia="仿宋_GB2312"/>
          <w:sz w:val="32"/>
          <w:szCs w:val="32"/>
        </w:rPr>
        <w:t>经核准或备案的评估结论在其有效期内</w:t>
      </w:r>
      <w:r>
        <w:rPr>
          <w:rFonts w:hint="eastAsia" w:ascii="仿宋_GB2312" w:hAnsi="仿宋" w:eastAsia="仿宋_GB2312"/>
          <w:sz w:val="32"/>
          <w:szCs w:val="32"/>
        </w:rPr>
        <w:t>作</w:t>
      </w:r>
      <w:r>
        <w:rPr>
          <w:rFonts w:ascii="仿宋_GB2312" w:hAnsi="仿宋" w:eastAsia="仿宋_GB2312"/>
          <w:sz w:val="32"/>
          <w:szCs w:val="32"/>
        </w:rPr>
        <w:t>为作价参考依据。</w:t>
      </w:r>
    </w:p>
    <w:p>
      <w:pPr>
        <w:pStyle w:val="2"/>
        <w:spacing w:before="0" w:after="0" w:line="620" w:lineRule="atLeast"/>
        <w:jc w:val="center"/>
        <w:rPr>
          <w:rFonts w:ascii="黑体" w:hAnsi="黑体" w:eastAsia="黑体"/>
        </w:rPr>
      </w:pPr>
      <w:r>
        <w:rPr>
          <w:rFonts w:hint="eastAsia" w:ascii="黑体" w:hAnsi="黑体" w:eastAsia="黑体"/>
        </w:rPr>
        <w:t>第三章　监督管理与法律责任</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国有资产监督管理机构对国有资产评估依法履行监督职责。国有资产监督管理机构应对国有单位资产评估监管工作进行管理、指导和检查，发现国有单位未执行或者违反相关规定、侵害国有权益的，应当责成其停止相关经济行为，</w:t>
      </w:r>
      <w:r>
        <w:rPr>
          <w:rFonts w:ascii="仿宋_GB2312" w:hAnsi="仿宋" w:eastAsia="仿宋_GB2312"/>
          <w:sz w:val="32"/>
          <w:szCs w:val="32"/>
        </w:rPr>
        <w:t>并</w:t>
      </w:r>
      <w:r>
        <w:rPr>
          <w:rFonts w:hint="eastAsia" w:ascii="仿宋_GB2312" w:hAnsi="仿宋" w:eastAsia="仿宋_GB2312"/>
          <w:sz w:val="32"/>
          <w:szCs w:val="32"/>
        </w:rPr>
        <w:t>告知</w:t>
      </w:r>
      <w:r>
        <w:rPr>
          <w:rFonts w:ascii="仿宋_GB2312" w:hAnsi="仿宋" w:eastAsia="仿宋_GB2312"/>
          <w:sz w:val="32"/>
          <w:szCs w:val="32"/>
        </w:rPr>
        <w:t>有关评估行政管理部门</w:t>
      </w:r>
      <w:r>
        <w:rPr>
          <w:rFonts w:hint="eastAsia" w:ascii="仿宋_GB2312" w:hAnsi="仿宋" w:eastAsia="仿宋_GB2312"/>
          <w:sz w:val="32"/>
          <w:szCs w:val="32"/>
        </w:rPr>
        <w:t>。</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各级有关评估行政管理部门根据各自职责，对评估机构及其评估师执行国有资产评估业务进行监督。</w:t>
      </w:r>
    </w:p>
    <w:p>
      <w:pPr>
        <w:adjustRightInd w:val="0"/>
        <w:snapToGrid w:val="0"/>
        <w:spacing w:line="620" w:lineRule="atLeast"/>
        <w:ind w:firstLine="646" w:firstLineChars="202"/>
        <w:rPr>
          <w:rFonts w:ascii="仿宋_GB2312" w:hAnsi="仿宋" w:eastAsia="仿宋_GB2312"/>
          <w:sz w:val="32"/>
          <w:szCs w:val="32"/>
        </w:rPr>
      </w:pPr>
      <w:r>
        <w:rPr>
          <w:rFonts w:hint="eastAsia" w:ascii="仿宋_GB2312" w:hAnsi="仿宋" w:eastAsia="仿宋_GB2312"/>
          <w:sz w:val="32"/>
          <w:szCs w:val="32"/>
        </w:rPr>
        <w:t>（一）对资产评估业务检查过程中发现评估机构和评估师存在的违法、违规行为依法实施行政处罚，并按规定进行通报，依法向社会公开；</w:t>
      </w:r>
    </w:p>
    <w:p>
      <w:pPr>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（二）对有关国有单位、评估机构或者评估师在国有资产评估过程中存在违法、违规行为的投诉、举报，应当及时调查处理，并向国有资产监督管理机构及相关当事人反馈处理意见。</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各级有关评估行业协会依据各自职责，对评估机构及其评估师执行国有资产评估业务进行自律管理，对会员的违法、违规行为进行自律惩戒。</w:t>
      </w:r>
    </w:p>
    <w:p>
      <w:pPr>
        <w:widowControl/>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第十三条 </w:t>
      </w:r>
      <w:r>
        <w:rPr>
          <w:rFonts w:hint="eastAsia" w:ascii="仿宋_GB2312" w:hAnsi="仿宋" w:eastAsia="仿宋_GB2312"/>
          <w:sz w:val="32"/>
          <w:szCs w:val="32"/>
        </w:rPr>
        <w:t>国有资产评估中各相关当事人有下列情形的，依法承担相应法律责任。</w:t>
      </w:r>
    </w:p>
    <w:p>
      <w:pPr>
        <w:widowControl/>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（一）国有单位发生应当委托评估机构进行评估而未委托的；</w:t>
      </w:r>
    </w:p>
    <w:p>
      <w:pPr>
        <w:widowControl/>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二）国有资产评估的委托人未按规定选择评估机构，索要、收受或者变相索要、收受回扣，串通、唆使评估机构或者评估师出具虚假评估报告，未按规定向评估机构提供权属证明、财务会计信息和其他资料，违法违规使用评估报告的；</w:t>
      </w:r>
    </w:p>
    <w:p>
      <w:pPr>
        <w:widowControl/>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（三）评估机构以恶性压价、支付回扣、虚假宣传，或者贬损、诋毁其他评估机构等不正当手段招揽业务，出具虚假评估报告或者有重大遗漏的评估报告的；</w:t>
      </w:r>
    </w:p>
    <w:p>
      <w:pPr>
        <w:widowControl/>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（四）评估师签署虚假评估报告或者签署的评估报告有重大遗漏的，谋取不正当利益的；</w:t>
      </w:r>
    </w:p>
    <w:p>
      <w:pPr>
        <w:widowControl/>
        <w:adjustRightInd w:val="0"/>
        <w:snapToGrid w:val="0"/>
        <w:spacing w:line="620" w:lineRule="atLeast"/>
        <w:ind w:firstLine="643" w:firstLineChars="201"/>
        <w:rPr>
          <w:rFonts w:ascii="仿宋_GB2312" w:hAnsi="仿宋" w:eastAsia="仿宋_GB2312"/>
          <w:sz w:val="32"/>
          <w:szCs w:val="32"/>
        </w:rPr>
      </w:pPr>
      <w:r>
        <w:rPr>
          <w:rFonts w:hint="eastAsia" w:ascii="仿宋_GB2312" w:hAnsi="仿宋" w:eastAsia="仿宋_GB2312"/>
          <w:sz w:val="32"/>
          <w:szCs w:val="32"/>
        </w:rPr>
        <w:t>（五）</w:t>
      </w:r>
      <w:r>
        <w:rPr>
          <w:rFonts w:ascii="仿宋_GB2312" w:hAnsi="仿宋" w:eastAsia="仿宋_GB2312" w:cs="宋体"/>
          <w:kern w:val="0"/>
          <w:sz w:val="32"/>
          <w:szCs w:val="32"/>
        </w:rPr>
        <w:t>国有资产监督管理机构</w:t>
      </w:r>
      <w:r>
        <w:rPr>
          <w:rFonts w:hint="eastAsia" w:ascii="仿宋_GB2312" w:hAnsi="仿宋" w:eastAsia="仿宋_GB2312" w:cs="宋体"/>
          <w:kern w:val="0"/>
          <w:sz w:val="32"/>
          <w:szCs w:val="32"/>
        </w:rPr>
        <w:t>、国有单位、有关评估行政管理部门和评估行业协会工作人员滥用职权、玩忽职守或者徇私舞弊的，依法给予处分；构成犯罪的，依法追究刑事责任。</w:t>
      </w:r>
    </w:p>
    <w:p>
      <w:pPr>
        <w:pStyle w:val="2"/>
        <w:spacing w:before="0" w:after="0" w:line="620" w:lineRule="atLeast"/>
        <w:jc w:val="center"/>
        <w:rPr>
          <w:rFonts w:ascii="黑体" w:hAnsi="黑体" w:eastAsia="黑体"/>
        </w:rPr>
      </w:pPr>
      <w:r>
        <w:rPr>
          <w:rFonts w:hint="eastAsia" w:ascii="黑体" w:hAnsi="黑体" w:eastAsia="黑体"/>
        </w:rPr>
        <w:t>第四章　附则</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涉及国有自然资源资产</w:t>
      </w:r>
      <w:r>
        <w:rPr>
          <w:rFonts w:hint="eastAsia" w:ascii="仿宋_GB2312" w:eastAsia="仿宋_GB2312"/>
          <w:sz w:val="32"/>
          <w:szCs w:val="32"/>
        </w:rPr>
        <w:t>有偿使用及开采、资产管理、资产损害赔偿等</w:t>
      </w:r>
      <w:r>
        <w:rPr>
          <w:rFonts w:hint="eastAsia" w:ascii="仿宋_GB2312" w:hAnsi="仿宋" w:eastAsia="仿宋_GB2312"/>
          <w:sz w:val="32"/>
          <w:szCs w:val="32"/>
        </w:rPr>
        <w:t>的相关评估办法</w:t>
      </w:r>
      <w:r>
        <w:rPr>
          <w:rFonts w:ascii="仿宋_GB2312" w:hAnsi="仿宋" w:eastAsia="仿宋_GB2312"/>
          <w:sz w:val="32"/>
          <w:szCs w:val="32"/>
        </w:rPr>
        <w:t>,由国务院另行规定。</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境外国有资产评估，国有资产监督管理机构和部门另有规定的，可</w:t>
      </w:r>
      <w:r>
        <w:rPr>
          <w:rFonts w:ascii="仿宋_GB2312" w:hAnsi="仿宋" w:eastAsia="仿宋_GB2312"/>
          <w:sz w:val="32"/>
          <w:szCs w:val="32"/>
        </w:rPr>
        <w:t>依</w:t>
      </w:r>
      <w:r>
        <w:rPr>
          <w:rFonts w:hint="eastAsia" w:ascii="仿宋_GB2312" w:hAnsi="仿宋" w:eastAsia="仿宋_GB2312"/>
          <w:sz w:val="32"/>
          <w:szCs w:val="32"/>
        </w:rPr>
        <w:t>照其规定执行。</w:t>
      </w:r>
    </w:p>
    <w:p>
      <w:pPr>
        <w:adjustRightInd w:val="0"/>
        <w:snapToGrid w:val="0"/>
        <w:spacing w:line="620" w:lineRule="atLeast"/>
        <w:ind w:firstLine="646" w:firstLineChars="201"/>
        <w:rPr>
          <w:rFonts w:ascii="仿宋_GB2312" w:hAnsi="仿宋" w:eastAsia="仿宋_GB2312"/>
          <w:sz w:val="32"/>
          <w:szCs w:val="32"/>
        </w:rPr>
      </w:pPr>
      <w:r>
        <w:rPr>
          <w:rFonts w:hint="eastAsia" w:ascii="仿宋_GB2312" w:hAnsi="仿宋" w:eastAsia="仿宋_GB2312"/>
          <w:b/>
          <w:sz w:val="32"/>
          <w:szCs w:val="32"/>
        </w:rPr>
        <w:t xml:space="preserve">第十六条 </w:t>
      </w:r>
      <w:r>
        <w:rPr>
          <w:rFonts w:hint="eastAsia" w:ascii="仿宋_GB2312" w:hAnsi="仿宋" w:eastAsia="仿宋_GB2312"/>
          <w:sz w:val="32"/>
          <w:szCs w:val="32"/>
        </w:rPr>
        <w:t>本办法自发布之日起施行。国务院</w:t>
      </w:r>
      <w:r>
        <w:rPr>
          <w:rFonts w:ascii="仿宋_GB2312" w:hAnsi="仿宋" w:eastAsia="仿宋_GB2312"/>
          <w:sz w:val="32"/>
          <w:szCs w:val="32"/>
        </w:rPr>
        <w:t>1991年11月16日</w:t>
      </w:r>
      <w:r>
        <w:rPr>
          <w:rFonts w:hint="eastAsia" w:ascii="仿宋_GB2312" w:hAnsi="仿宋" w:eastAsia="仿宋_GB2312"/>
          <w:sz w:val="32"/>
          <w:szCs w:val="32"/>
        </w:rPr>
        <w:t>发布的《国有资产评估管理办法》（国务院令第</w:t>
      </w:r>
      <w:r>
        <w:rPr>
          <w:rFonts w:ascii="仿宋_GB2312" w:hAnsi="仿宋" w:eastAsia="仿宋_GB2312"/>
          <w:sz w:val="32"/>
          <w:szCs w:val="32"/>
        </w:rPr>
        <w:t>91号）同时废止。</w:t>
      </w:r>
    </w:p>
    <w:p>
      <w:pPr>
        <w:adjustRightInd w:val="0"/>
        <w:snapToGrid w:val="0"/>
        <w:spacing w:line="620" w:lineRule="atLeast"/>
        <w:ind w:firstLine="502" w:firstLineChars="157"/>
        <w:rPr>
          <w:rFonts w:ascii="仿宋_GB2312" w:eastAsia="仿宋_GB2312"/>
          <w:sz w:val="32"/>
          <w:szCs w:val="32"/>
        </w:rPr>
      </w:pPr>
    </w:p>
    <w:p>
      <w:pPr>
        <w:adjustRightInd w:val="0"/>
        <w:snapToGrid w:val="0"/>
        <w:spacing w:line="620" w:lineRule="atLeast"/>
        <w:ind w:firstLine="502" w:firstLineChars="157"/>
        <w:rPr>
          <w:rFonts w:ascii="仿宋_GB2312" w:eastAsia="仿宋_GB2312"/>
          <w:sz w:val="32"/>
          <w:szCs w:val="32"/>
        </w:rPr>
      </w:pPr>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44707"/>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E9B"/>
    <w:multiLevelType w:val="multilevel"/>
    <w:tmpl w:val="026B6E9B"/>
    <w:lvl w:ilvl="0" w:tentative="0">
      <w:start w:val="1"/>
      <w:numFmt w:val="japaneseCounting"/>
      <w:lvlText w:val="（%1）"/>
      <w:lvlJc w:val="left"/>
      <w:pPr>
        <w:ind w:left="4101"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6701C6"/>
    <w:multiLevelType w:val="multilevel"/>
    <w:tmpl w:val="646701C6"/>
    <w:lvl w:ilvl="0" w:tentative="0">
      <w:start w:val="1"/>
      <w:numFmt w:val="japaneseCounting"/>
      <w:lvlText w:val="（%1）"/>
      <w:lvlJc w:val="left"/>
      <w:pPr>
        <w:ind w:left="2056" w:hanging="7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78"/>
    <w:rsid w:val="00000E24"/>
    <w:rsid w:val="00001E09"/>
    <w:rsid w:val="00003C52"/>
    <w:rsid w:val="00004113"/>
    <w:rsid w:val="000049D2"/>
    <w:rsid w:val="00005160"/>
    <w:rsid w:val="00006844"/>
    <w:rsid w:val="000113E9"/>
    <w:rsid w:val="00013590"/>
    <w:rsid w:val="0001377B"/>
    <w:rsid w:val="00015B75"/>
    <w:rsid w:val="00017875"/>
    <w:rsid w:val="000206C7"/>
    <w:rsid w:val="000217A1"/>
    <w:rsid w:val="00024EF0"/>
    <w:rsid w:val="0003142F"/>
    <w:rsid w:val="000326DE"/>
    <w:rsid w:val="00035446"/>
    <w:rsid w:val="00037925"/>
    <w:rsid w:val="00045B36"/>
    <w:rsid w:val="000600CF"/>
    <w:rsid w:val="000603CB"/>
    <w:rsid w:val="0006461F"/>
    <w:rsid w:val="0006785A"/>
    <w:rsid w:val="00067F4C"/>
    <w:rsid w:val="00070DDB"/>
    <w:rsid w:val="0007325F"/>
    <w:rsid w:val="000732C1"/>
    <w:rsid w:val="00074FE8"/>
    <w:rsid w:val="000834F1"/>
    <w:rsid w:val="00086221"/>
    <w:rsid w:val="0009141D"/>
    <w:rsid w:val="00092772"/>
    <w:rsid w:val="00095644"/>
    <w:rsid w:val="00095C40"/>
    <w:rsid w:val="000A0BDC"/>
    <w:rsid w:val="000A498B"/>
    <w:rsid w:val="000A4CE3"/>
    <w:rsid w:val="000A6805"/>
    <w:rsid w:val="000B32B5"/>
    <w:rsid w:val="000C0E3C"/>
    <w:rsid w:val="000C5DC4"/>
    <w:rsid w:val="000C7E2E"/>
    <w:rsid w:val="000D3DC0"/>
    <w:rsid w:val="000D7313"/>
    <w:rsid w:val="000E2445"/>
    <w:rsid w:val="000E28BE"/>
    <w:rsid w:val="000E6C95"/>
    <w:rsid w:val="000E7406"/>
    <w:rsid w:val="000F07F1"/>
    <w:rsid w:val="000F2AD9"/>
    <w:rsid w:val="000F6234"/>
    <w:rsid w:val="000F75C1"/>
    <w:rsid w:val="0010179F"/>
    <w:rsid w:val="00101AFD"/>
    <w:rsid w:val="00102853"/>
    <w:rsid w:val="00103DB1"/>
    <w:rsid w:val="001119D8"/>
    <w:rsid w:val="001122A0"/>
    <w:rsid w:val="001122B5"/>
    <w:rsid w:val="0011265F"/>
    <w:rsid w:val="00113B9A"/>
    <w:rsid w:val="00113F13"/>
    <w:rsid w:val="00120CC3"/>
    <w:rsid w:val="0012123A"/>
    <w:rsid w:val="00127636"/>
    <w:rsid w:val="001300AA"/>
    <w:rsid w:val="001315EA"/>
    <w:rsid w:val="001328E1"/>
    <w:rsid w:val="00132953"/>
    <w:rsid w:val="00141172"/>
    <w:rsid w:val="00141C95"/>
    <w:rsid w:val="00147BA1"/>
    <w:rsid w:val="00152717"/>
    <w:rsid w:val="001538DC"/>
    <w:rsid w:val="001609DD"/>
    <w:rsid w:val="0016671D"/>
    <w:rsid w:val="0017325F"/>
    <w:rsid w:val="0017421C"/>
    <w:rsid w:val="001763DE"/>
    <w:rsid w:val="0017641F"/>
    <w:rsid w:val="00182474"/>
    <w:rsid w:val="00183745"/>
    <w:rsid w:val="00184450"/>
    <w:rsid w:val="001844CF"/>
    <w:rsid w:val="001853CD"/>
    <w:rsid w:val="00186EB2"/>
    <w:rsid w:val="00192A83"/>
    <w:rsid w:val="001A0D1A"/>
    <w:rsid w:val="001A4DB8"/>
    <w:rsid w:val="001A5DBC"/>
    <w:rsid w:val="001B1259"/>
    <w:rsid w:val="001B14BA"/>
    <w:rsid w:val="001B1DFA"/>
    <w:rsid w:val="001B314E"/>
    <w:rsid w:val="001B3DC9"/>
    <w:rsid w:val="001C4EF8"/>
    <w:rsid w:val="001D57BE"/>
    <w:rsid w:val="001D5D3A"/>
    <w:rsid w:val="001D6CD2"/>
    <w:rsid w:val="001E063D"/>
    <w:rsid w:val="001E643A"/>
    <w:rsid w:val="001E7BCD"/>
    <w:rsid w:val="001F0193"/>
    <w:rsid w:val="001F0EB7"/>
    <w:rsid w:val="001F3F82"/>
    <w:rsid w:val="001F51E1"/>
    <w:rsid w:val="00200A5B"/>
    <w:rsid w:val="002040BB"/>
    <w:rsid w:val="002049EF"/>
    <w:rsid w:val="00205DEA"/>
    <w:rsid w:val="0021009B"/>
    <w:rsid w:val="00210FCA"/>
    <w:rsid w:val="00211C0B"/>
    <w:rsid w:val="00214935"/>
    <w:rsid w:val="00217BFF"/>
    <w:rsid w:val="00217C4D"/>
    <w:rsid w:val="00221736"/>
    <w:rsid w:val="0022486B"/>
    <w:rsid w:val="0022693F"/>
    <w:rsid w:val="00231D74"/>
    <w:rsid w:val="00233A14"/>
    <w:rsid w:val="00234422"/>
    <w:rsid w:val="0023655D"/>
    <w:rsid w:val="00236DF2"/>
    <w:rsid w:val="002414F7"/>
    <w:rsid w:val="002421F4"/>
    <w:rsid w:val="00243488"/>
    <w:rsid w:val="00244E63"/>
    <w:rsid w:val="002471BE"/>
    <w:rsid w:val="002472EE"/>
    <w:rsid w:val="00247EA2"/>
    <w:rsid w:val="00251C36"/>
    <w:rsid w:val="00252D02"/>
    <w:rsid w:val="00254947"/>
    <w:rsid w:val="002555C5"/>
    <w:rsid w:val="00257550"/>
    <w:rsid w:val="002602CF"/>
    <w:rsid w:val="0026152C"/>
    <w:rsid w:val="00262ED8"/>
    <w:rsid w:val="00265113"/>
    <w:rsid w:val="002701B1"/>
    <w:rsid w:val="0027248D"/>
    <w:rsid w:val="00272F78"/>
    <w:rsid w:val="00277143"/>
    <w:rsid w:val="00281263"/>
    <w:rsid w:val="00287973"/>
    <w:rsid w:val="00290B1F"/>
    <w:rsid w:val="00290B3C"/>
    <w:rsid w:val="0029397C"/>
    <w:rsid w:val="002A3E9E"/>
    <w:rsid w:val="002A4614"/>
    <w:rsid w:val="002A5A68"/>
    <w:rsid w:val="002A7C22"/>
    <w:rsid w:val="002B07A3"/>
    <w:rsid w:val="002B3914"/>
    <w:rsid w:val="002B5206"/>
    <w:rsid w:val="002B7DAA"/>
    <w:rsid w:val="002C3219"/>
    <w:rsid w:val="002C3BB2"/>
    <w:rsid w:val="002C7C59"/>
    <w:rsid w:val="002D0B1F"/>
    <w:rsid w:val="002D6936"/>
    <w:rsid w:val="002D7477"/>
    <w:rsid w:val="002E0671"/>
    <w:rsid w:val="002E1B4F"/>
    <w:rsid w:val="002E2DFC"/>
    <w:rsid w:val="002E3034"/>
    <w:rsid w:val="002E59CF"/>
    <w:rsid w:val="002E6428"/>
    <w:rsid w:val="002E790B"/>
    <w:rsid w:val="002F2ABD"/>
    <w:rsid w:val="002F33A2"/>
    <w:rsid w:val="002F5993"/>
    <w:rsid w:val="00303E65"/>
    <w:rsid w:val="003053A0"/>
    <w:rsid w:val="00307B81"/>
    <w:rsid w:val="00317532"/>
    <w:rsid w:val="003203CA"/>
    <w:rsid w:val="003208F2"/>
    <w:rsid w:val="00320CEA"/>
    <w:rsid w:val="0032381F"/>
    <w:rsid w:val="00324178"/>
    <w:rsid w:val="00327063"/>
    <w:rsid w:val="00332214"/>
    <w:rsid w:val="00332D77"/>
    <w:rsid w:val="00336F75"/>
    <w:rsid w:val="00337C78"/>
    <w:rsid w:val="00337ED2"/>
    <w:rsid w:val="003400C0"/>
    <w:rsid w:val="00341878"/>
    <w:rsid w:val="00341E33"/>
    <w:rsid w:val="00342E75"/>
    <w:rsid w:val="0034314D"/>
    <w:rsid w:val="003503DA"/>
    <w:rsid w:val="00350CC7"/>
    <w:rsid w:val="00354EDA"/>
    <w:rsid w:val="00355D1E"/>
    <w:rsid w:val="00356F74"/>
    <w:rsid w:val="00364F9F"/>
    <w:rsid w:val="003704CC"/>
    <w:rsid w:val="00370C1A"/>
    <w:rsid w:val="00370D89"/>
    <w:rsid w:val="00371DAA"/>
    <w:rsid w:val="00372C70"/>
    <w:rsid w:val="0037667C"/>
    <w:rsid w:val="0037778E"/>
    <w:rsid w:val="0038254A"/>
    <w:rsid w:val="00382D50"/>
    <w:rsid w:val="003848FB"/>
    <w:rsid w:val="00387031"/>
    <w:rsid w:val="003871CE"/>
    <w:rsid w:val="00390010"/>
    <w:rsid w:val="0039131A"/>
    <w:rsid w:val="00393C2D"/>
    <w:rsid w:val="00397424"/>
    <w:rsid w:val="003A2139"/>
    <w:rsid w:val="003A321D"/>
    <w:rsid w:val="003A34C8"/>
    <w:rsid w:val="003A44C2"/>
    <w:rsid w:val="003A6267"/>
    <w:rsid w:val="003B42CE"/>
    <w:rsid w:val="003C21E2"/>
    <w:rsid w:val="003C2D0D"/>
    <w:rsid w:val="003C364E"/>
    <w:rsid w:val="003C459D"/>
    <w:rsid w:val="003C4F6C"/>
    <w:rsid w:val="003C73EA"/>
    <w:rsid w:val="003D04DC"/>
    <w:rsid w:val="003D0595"/>
    <w:rsid w:val="003D4366"/>
    <w:rsid w:val="003E0B58"/>
    <w:rsid w:val="003E1A68"/>
    <w:rsid w:val="003E42FF"/>
    <w:rsid w:val="003E5730"/>
    <w:rsid w:val="003E76EB"/>
    <w:rsid w:val="003F4E0F"/>
    <w:rsid w:val="003F4FDF"/>
    <w:rsid w:val="003F57D7"/>
    <w:rsid w:val="00400AC1"/>
    <w:rsid w:val="00404845"/>
    <w:rsid w:val="004055D6"/>
    <w:rsid w:val="00405912"/>
    <w:rsid w:val="00406C9E"/>
    <w:rsid w:val="00413169"/>
    <w:rsid w:val="004159A2"/>
    <w:rsid w:val="00415ADE"/>
    <w:rsid w:val="00416448"/>
    <w:rsid w:val="00433C6D"/>
    <w:rsid w:val="004340FF"/>
    <w:rsid w:val="00436598"/>
    <w:rsid w:val="00445667"/>
    <w:rsid w:val="00446FD8"/>
    <w:rsid w:val="00450375"/>
    <w:rsid w:val="004508DB"/>
    <w:rsid w:val="004517F0"/>
    <w:rsid w:val="00453FEE"/>
    <w:rsid w:val="0045677A"/>
    <w:rsid w:val="004578D0"/>
    <w:rsid w:val="0046134B"/>
    <w:rsid w:val="00462B87"/>
    <w:rsid w:val="004639DA"/>
    <w:rsid w:val="00467723"/>
    <w:rsid w:val="004714AF"/>
    <w:rsid w:val="00480BC6"/>
    <w:rsid w:val="00482CD2"/>
    <w:rsid w:val="00483338"/>
    <w:rsid w:val="004852D0"/>
    <w:rsid w:val="0049268D"/>
    <w:rsid w:val="004A06A7"/>
    <w:rsid w:val="004A1A55"/>
    <w:rsid w:val="004A1D4C"/>
    <w:rsid w:val="004A1F99"/>
    <w:rsid w:val="004A2048"/>
    <w:rsid w:val="004A7CC5"/>
    <w:rsid w:val="004B2210"/>
    <w:rsid w:val="004C07A9"/>
    <w:rsid w:val="004C3537"/>
    <w:rsid w:val="004C6CAF"/>
    <w:rsid w:val="004C6EB9"/>
    <w:rsid w:val="004D0B37"/>
    <w:rsid w:val="004D2817"/>
    <w:rsid w:val="004D51D1"/>
    <w:rsid w:val="004D541C"/>
    <w:rsid w:val="004D5C06"/>
    <w:rsid w:val="004E2FA5"/>
    <w:rsid w:val="004E3DD3"/>
    <w:rsid w:val="004F09CB"/>
    <w:rsid w:val="004F0E8F"/>
    <w:rsid w:val="004F3A37"/>
    <w:rsid w:val="004F53E0"/>
    <w:rsid w:val="004F6C89"/>
    <w:rsid w:val="005021E1"/>
    <w:rsid w:val="00505F5A"/>
    <w:rsid w:val="005075BC"/>
    <w:rsid w:val="005126F1"/>
    <w:rsid w:val="005149AE"/>
    <w:rsid w:val="005203B8"/>
    <w:rsid w:val="00534F03"/>
    <w:rsid w:val="00543ACC"/>
    <w:rsid w:val="005506A5"/>
    <w:rsid w:val="00550746"/>
    <w:rsid w:val="005534CB"/>
    <w:rsid w:val="00554A4B"/>
    <w:rsid w:val="0057090B"/>
    <w:rsid w:val="00575609"/>
    <w:rsid w:val="005767E0"/>
    <w:rsid w:val="005824D2"/>
    <w:rsid w:val="00586292"/>
    <w:rsid w:val="0058792D"/>
    <w:rsid w:val="00590A29"/>
    <w:rsid w:val="00591FBB"/>
    <w:rsid w:val="005940DA"/>
    <w:rsid w:val="005A0A70"/>
    <w:rsid w:val="005A1A70"/>
    <w:rsid w:val="005A2163"/>
    <w:rsid w:val="005A2FD0"/>
    <w:rsid w:val="005A546B"/>
    <w:rsid w:val="005A6F1A"/>
    <w:rsid w:val="005B0533"/>
    <w:rsid w:val="005B108F"/>
    <w:rsid w:val="005B20A0"/>
    <w:rsid w:val="005B4195"/>
    <w:rsid w:val="005B4CFF"/>
    <w:rsid w:val="005B5891"/>
    <w:rsid w:val="005B6A18"/>
    <w:rsid w:val="005B7E17"/>
    <w:rsid w:val="005D01F3"/>
    <w:rsid w:val="005D0A9E"/>
    <w:rsid w:val="005D1800"/>
    <w:rsid w:val="005D31F8"/>
    <w:rsid w:val="005D5662"/>
    <w:rsid w:val="005D5947"/>
    <w:rsid w:val="005D72F7"/>
    <w:rsid w:val="005E1CF7"/>
    <w:rsid w:val="005F268F"/>
    <w:rsid w:val="005F784D"/>
    <w:rsid w:val="006007F9"/>
    <w:rsid w:val="0060428A"/>
    <w:rsid w:val="006056AB"/>
    <w:rsid w:val="00616155"/>
    <w:rsid w:val="0061638A"/>
    <w:rsid w:val="0062139A"/>
    <w:rsid w:val="00622C7C"/>
    <w:rsid w:val="006279C3"/>
    <w:rsid w:val="00632A10"/>
    <w:rsid w:val="006346A0"/>
    <w:rsid w:val="0063590D"/>
    <w:rsid w:val="00637103"/>
    <w:rsid w:val="006374B7"/>
    <w:rsid w:val="006414AE"/>
    <w:rsid w:val="006452E5"/>
    <w:rsid w:val="006455B2"/>
    <w:rsid w:val="00655778"/>
    <w:rsid w:val="00655A4B"/>
    <w:rsid w:val="00661322"/>
    <w:rsid w:val="00663E59"/>
    <w:rsid w:val="00664002"/>
    <w:rsid w:val="00670A55"/>
    <w:rsid w:val="00673731"/>
    <w:rsid w:val="00680FFC"/>
    <w:rsid w:val="00685D4F"/>
    <w:rsid w:val="00686090"/>
    <w:rsid w:val="00686B7A"/>
    <w:rsid w:val="00687899"/>
    <w:rsid w:val="00690FD3"/>
    <w:rsid w:val="006911CD"/>
    <w:rsid w:val="00691D42"/>
    <w:rsid w:val="00694D0A"/>
    <w:rsid w:val="00695B61"/>
    <w:rsid w:val="0069623E"/>
    <w:rsid w:val="006A0B1E"/>
    <w:rsid w:val="006A12C9"/>
    <w:rsid w:val="006A3F2F"/>
    <w:rsid w:val="006B546B"/>
    <w:rsid w:val="006C26DB"/>
    <w:rsid w:val="006C5A80"/>
    <w:rsid w:val="006D088B"/>
    <w:rsid w:val="006D41D1"/>
    <w:rsid w:val="006D42EB"/>
    <w:rsid w:val="006D7CE2"/>
    <w:rsid w:val="006E17D7"/>
    <w:rsid w:val="006E30B1"/>
    <w:rsid w:val="006E55CD"/>
    <w:rsid w:val="006E7FF5"/>
    <w:rsid w:val="006F2360"/>
    <w:rsid w:val="006F5ADC"/>
    <w:rsid w:val="006F6D56"/>
    <w:rsid w:val="00704C68"/>
    <w:rsid w:val="007106A6"/>
    <w:rsid w:val="00710AAB"/>
    <w:rsid w:val="0071159F"/>
    <w:rsid w:val="00711983"/>
    <w:rsid w:val="007138FE"/>
    <w:rsid w:val="007158D8"/>
    <w:rsid w:val="00717BF7"/>
    <w:rsid w:val="00721A48"/>
    <w:rsid w:val="00723046"/>
    <w:rsid w:val="007254AF"/>
    <w:rsid w:val="00725CBF"/>
    <w:rsid w:val="00727B45"/>
    <w:rsid w:val="007372E2"/>
    <w:rsid w:val="00740064"/>
    <w:rsid w:val="007409F2"/>
    <w:rsid w:val="00744D49"/>
    <w:rsid w:val="007453C4"/>
    <w:rsid w:val="007470B1"/>
    <w:rsid w:val="00747DB3"/>
    <w:rsid w:val="00747EF8"/>
    <w:rsid w:val="00753BD0"/>
    <w:rsid w:val="00763479"/>
    <w:rsid w:val="007636B7"/>
    <w:rsid w:val="0076526F"/>
    <w:rsid w:val="007712B9"/>
    <w:rsid w:val="0077155F"/>
    <w:rsid w:val="007751D5"/>
    <w:rsid w:val="0077611E"/>
    <w:rsid w:val="0077667B"/>
    <w:rsid w:val="00776E0B"/>
    <w:rsid w:val="007772F8"/>
    <w:rsid w:val="00782D1E"/>
    <w:rsid w:val="0078409F"/>
    <w:rsid w:val="00784610"/>
    <w:rsid w:val="00785339"/>
    <w:rsid w:val="00790AB9"/>
    <w:rsid w:val="00791163"/>
    <w:rsid w:val="00794CFD"/>
    <w:rsid w:val="00795367"/>
    <w:rsid w:val="00796677"/>
    <w:rsid w:val="007A2179"/>
    <w:rsid w:val="007A623F"/>
    <w:rsid w:val="007B0E5A"/>
    <w:rsid w:val="007B27FA"/>
    <w:rsid w:val="007B37B6"/>
    <w:rsid w:val="007B6E75"/>
    <w:rsid w:val="007B7039"/>
    <w:rsid w:val="007B7353"/>
    <w:rsid w:val="007C00F7"/>
    <w:rsid w:val="007E0879"/>
    <w:rsid w:val="007E0D31"/>
    <w:rsid w:val="007E28B7"/>
    <w:rsid w:val="007E3F52"/>
    <w:rsid w:val="007F00C5"/>
    <w:rsid w:val="007F2A84"/>
    <w:rsid w:val="007F6A16"/>
    <w:rsid w:val="00800E84"/>
    <w:rsid w:val="00801129"/>
    <w:rsid w:val="0080143F"/>
    <w:rsid w:val="00806ADB"/>
    <w:rsid w:val="00813DE4"/>
    <w:rsid w:val="00814C2A"/>
    <w:rsid w:val="008179B9"/>
    <w:rsid w:val="0082153B"/>
    <w:rsid w:val="0082186C"/>
    <w:rsid w:val="008233A0"/>
    <w:rsid w:val="00830AE3"/>
    <w:rsid w:val="0083166E"/>
    <w:rsid w:val="00831C5A"/>
    <w:rsid w:val="008332C7"/>
    <w:rsid w:val="00833CCF"/>
    <w:rsid w:val="00836044"/>
    <w:rsid w:val="0084609A"/>
    <w:rsid w:val="00846D48"/>
    <w:rsid w:val="008508A9"/>
    <w:rsid w:val="00854E0F"/>
    <w:rsid w:val="00860358"/>
    <w:rsid w:val="0086092F"/>
    <w:rsid w:val="00863C58"/>
    <w:rsid w:val="00881E93"/>
    <w:rsid w:val="008840FE"/>
    <w:rsid w:val="008869B4"/>
    <w:rsid w:val="008A04FA"/>
    <w:rsid w:val="008A18A3"/>
    <w:rsid w:val="008A7AA9"/>
    <w:rsid w:val="008A7D77"/>
    <w:rsid w:val="008B2EF0"/>
    <w:rsid w:val="008B6DC9"/>
    <w:rsid w:val="008B75DF"/>
    <w:rsid w:val="008B7D99"/>
    <w:rsid w:val="008C3FA6"/>
    <w:rsid w:val="008C4500"/>
    <w:rsid w:val="008C7C03"/>
    <w:rsid w:val="008E1550"/>
    <w:rsid w:val="008E5157"/>
    <w:rsid w:val="008F1E7C"/>
    <w:rsid w:val="008F2416"/>
    <w:rsid w:val="008F5081"/>
    <w:rsid w:val="008F7AFA"/>
    <w:rsid w:val="008F7D91"/>
    <w:rsid w:val="00904833"/>
    <w:rsid w:val="00911327"/>
    <w:rsid w:val="00911FAA"/>
    <w:rsid w:val="00913571"/>
    <w:rsid w:val="009156CE"/>
    <w:rsid w:val="00915A92"/>
    <w:rsid w:val="00916A32"/>
    <w:rsid w:val="00920748"/>
    <w:rsid w:val="00920BE0"/>
    <w:rsid w:val="00921B13"/>
    <w:rsid w:val="00922838"/>
    <w:rsid w:val="0092441C"/>
    <w:rsid w:val="00927795"/>
    <w:rsid w:val="00934913"/>
    <w:rsid w:val="00934BBF"/>
    <w:rsid w:val="00940247"/>
    <w:rsid w:val="00942269"/>
    <w:rsid w:val="00942C16"/>
    <w:rsid w:val="00944BB3"/>
    <w:rsid w:val="00945342"/>
    <w:rsid w:val="00945C16"/>
    <w:rsid w:val="009469FB"/>
    <w:rsid w:val="00952C03"/>
    <w:rsid w:val="009562A3"/>
    <w:rsid w:val="0095666B"/>
    <w:rsid w:val="00960C28"/>
    <w:rsid w:val="009622C9"/>
    <w:rsid w:val="00962591"/>
    <w:rsid w:val="009649B9"/>
    <w:rsid w:val="00966D13"/>
    <w:rsid w:val="009713B1"/>
    <w:rsid w:val="00973AE7"/>
    <w:rsid w:val="009747D7"/>
    <w:rsid w:val="00974D64"/>
    <w:rsid w:val="0097560E"/>
    <w:rsid w:val="00977710"/>
    <w:rsid w:val="00980116"/>
    <w:rsid w:val="00983842"/>
    <w:rsid w:val="0098711E"/>
    <w:rsid w:val="009922C8"/>
    <w:rsid w:val="0099331E"/>
    <w:rsid w:val="00995CBF"/>
    <w:rsid w:val="00995CE6"/>
    <w:rsid w:val="009975AB"/>
    <w:rsid w:val="00997E01"/>
    <w:rsid w:val="009A4CCC"/>
    <w:rsid w:val="009A6955"/>
    <w:rsid w:val="009A770B"/>
    <w:rsid w:val="009B039F"/>
    <w:rsid w:val="009B22B2"/>
    <w:rsid w:val="009C0C4E"/>
    <w:rsid w:val="009C1C7C"/>
    <w:rsid w:val="009D192F"/>
    <w:rsid w:val="009D2F48"/>
    <w:rsid w:val="009E0BD5"/>
    <w:rsid w:val="009E16A9"/>
    <w:rsid w:val="009E2459"/>
    <w:rsid w:val="009E3565"/>
    <w:rsid w:val="009E3700"/>
    <w:rsid w:val="009F2B5D"/>
    <w:rsid w:val="009F7041"/>
    <w:rsid w:val="00A00125"/>
    <w:rsid w:val="00A075C6"/>
    <w:rsid w:val="00A07BCF"/>
    <w:rsid w:val="00A14457"/>
    <w:rsid w:val="00A17711"/>
    <w:rsid w:val="00A20C6A"/>
    <w:rsid w:val="00A21F6C"/>
    <w:rsid w:val="00A26340"/>
    <w:rsid w:val="00A2730C"/>
    <w:rsid w:val="00A279A2"/>
    <w:rsid w:val="00A308D0"/>
    <w:rsid w:val="00A31054"/>
    <w:rsid w:val="00A31155"/>
    <w:rsid w:val="00A32D76"/>
    <w:rsid w:val="00A3403D"/>
    <w:rsid w:val="00A36524"/>
    <w:rsid w:val="00A4308A"/>
    <w:rsid w:val="00A432E0"/>
    <w:rsid w:val="00A446CE"/>
    <w:rsid w:val="00A459B5"/>
    <w:rsid w:val="00A54407"/>
    <w:rsid w:val="00A74A45"/>
    <w:rsid w:val="00A765D9"/>
    <w:rsid w:val="00A809DC"/>
    <w:rsid w:val="00A862E3"/>
    <w:rsid w:val="00A915FA"/>
    <w:rsid w:val="00A936A3"/>
    <w:rsid w:val="00A95B15"/>
    <w:rsid w:val="00A970EC"/>
    <w:rsid w:val="00A97DBB"/>
    <w:rsid w:val="00AA36A6"/>
    <w:rsid w:val="00AA4EBF"/>
    <w:rsid w:val="00AA52A2"/>
    <w:rsid w:val="00AB4418"/>
    <w:rsid w:val="00AB672A"/>
    <w:rsid w:val="00AC13C3"/>
    <w:rsid w:val="00AC21B7"/>
    <w:rsid w:val="00AC4139"/>
    <w:rsid w:val="00AC41AE"/>
    <w:rsid w:val="00AC5395"/>
    <w:rsid w:val="00AC7988"/>
    <w:rsid w:val="00AD2528"/>
    <w:rsid w:val="00AD4ADB"/>
    <w:rsid w:val="00AD4EA6"/>
    <w:rsid w:val="00AD562A"/>
    <w:rsid w:val="00AD774F"/>
    <w:rsid w:val="00AE1178"/>
    <w:rsid w:val="00AF4572"/>
    <w:rsid w:val="00AF6878"/>
    <w:rsid w:val="00B058D4"/>
    <w:rsid w:val="00B11F78"/>
    <w:rsid w:val="00B12975"/>
    <w:rsid w:val="00B12D5B"/>
    <w:rsid w:val="00B13936"/>
    <w:rsid w:val="00B1671C"/>
    <w:rsid w:val="00B241DA"/>
    <w:rsid w:val="00B303B0"/>
    <w:rsid w:val="00B4007F"/>
    <w:rsid w:val="00B427F4"/>
    <w:rsid w:val="00B44D10"/>
    <w:rsid w:val="00B50D00"/>
    <w:rsid w:val="00B53C30"/>
    <w:rsid w:val="00B57118"/>
    <w:rsid w:val="00B61697"/>
    <w:rsid w:val="00B62EC5"/>
    <w:rsid w:val="00B64BA0"/>
    <w:rsid w:val="00B75133"/>
    <w:rsid w:val="00B8457D"/>
    <w:rsid w:val="00B92011"/>
    <w:rsid w:val="00B93F89"/>
    <w:rsid w:val="00B950D6"/>
    <w:rsid w:val="00B96E8B"/>
    <w:rsid w:val="00BA05B8"/>
    <w:rsid w:val="00BA08EE"/>
    <w:rsid w:val="00BA13A6"/>
    <w:rsid w:val="00BA3312"/>
    <w:rsid w:val="00BA5606"/>
    <w:rsid w:val="00BB0300"/>
    <w:rsid w:val="00BB1F2F"/>
    <w:rsid w:val="00BB2A7B"/>
    <w:rsid w:val="00BB33C4"/>
    <w:rsid w:val="00BB594B"/>
    <w:rsid w:val="00BC0A8D"/>
    <w:rsid w:val="00BC0DA0"/>
    <w:rsid w:val="00BC1097"/>
    <w:rsid w:val="00BC1152"/>
    <w:rsid w:val="00BC31D2"/>
    <w:rsid w:val="00BC43AF"/>
    <w:rsid w:val="00BC68F5"/>
    <w:rsid w:val="00BD0469"/>
    <w:rsid w:val="00BE0674"/>
    <w:rsid w:val="00BE5897"/>
    <w:rsid w:val="00BE5971"/>
    <w:rsid w:val="00BE5D04"/>
    <w:rsid w:val="00BF0812"/>
    <w:rsid w:val="00BF08D1"/>
    <w:rsid w:val="00BF123A"/>
    <w:rsid w:val="00BF4FDA"/>
    <w:rsid w:val="00BF5055"/>
    <w:rsid w:val="00C0555A"/>
    <w:rsid w:val="00C070BC"/>
    <w:rsid w:val="00C10486"/>
    <w:rsid w:val="00C203C0"/>
    <w:rsid w:val="00C2252F"/>
    <w:rsid w:val="00C235FA"/>
    <w:rsid w:val="00C23970"/>
    <w:rsid w:val="00C23E35"/>
    <w:rsid w:val="00C24212"/>
    <w:rsid w:val="00C2529F"/>
    <w:rsid w:val="00C30862"/>
    <w:rsid w:val="00C30DEA"/>
    <w:rsid w:val="00C3346F"/>
    <w:rsid w:val="00C43005"/>
    <w:rsid w:val="00C52C11"/>
    <w:rsid w:val="00C56F1A"/>
    <w:rsid w:val="00C5724B"/>
    <w:rsid w:val="00C60C36"/>
    <w:rsid w:val="00C60E6B"/>
    <w:rsid w:val="00C62D5B"/>
    <w:rsid w:val="00C66CCC"/>
    <w:rsid w:val="00C73540"/>
    <w:rsid w:val="00C73949"/>
    <w:rsid w:val="00C7609C"/>
    <w:rsid w:val="00C80D1E"/>
    <w:rsid w:val="00C9730C"/>
    <w:rsid w:val="00C97FB3"/>
    <w:rsid w:val="00CA31D4"/>
    <w:rsid w:val="00CA4542"/>
    <w:rsid w:val="00CA704C"/>
    <w:rsid w:val="00CB25C4"/>
    <w:rsid w:val="00CB5646"/>
    <w:rsid w:val="00CB59AC"/>
    <w:rsid w:val="00CB5CAF"/>
    <w:rsid w:val="00CB6EEA"/>
    <w:rsid w:val="00CB7EFA"/>
    <w:rsid w:val="00CC079C"/>
    <w:rsid w:val="00CC1146"/>
    <w:rsid w:val="00CC37BE"/>
    <w:rsid w:val="00CC42E7"/>
    <w:rsid w:val="00CC738D"/>
    <w:rsid w:val="00CD3C00"/>
    <w:rsid w:val="00CD433F"/>
    <w:rsid w:val="00CD5F66"/>
    <w:rsid w:val="00CE1E0D"/>
    <w:rsid w:val="00CE2158"/>
    <w:rsid w:val="00CE5DB7"/>
    <w:rsid w:val="00CF0D90"/>
    <w:rsid w:val="00CF1511"/>
    <w:rsid w:val="00CF246D"/>
    <w:rsid w:val="00CF5F54"/>
    <w:rsid w:val="00D0225B"/>
    <w:rsid w:val="00D0270C"/>
    <w:rsid w:val="00D046FC"/>
    <w:rsid w:val="00D060C3"/>
    <w:rsid w:val="00D064FA"/>
    <w:rsid w:val="00D156AC"/>
    <w:rsid w:val="00D16C1B"/>
    <w:rsid w:val="00D174E9"/>
    <w:rsid w:val="00D20DFD"/>
    <w:rsid w:val="00D21640"/>
    <w:rsid w:val="00D26AB5"/>
    <w:rsid w:val="00D26E70"/>
    <w:rsid w:val="00D27083"/>
    <w:rsid w:val="00D31A12"/>
    <w:rsid w:val="00D34DAE"/>
    <w:rsid w:val="00D36348"/>
    <w:rsid w:val="00D40CE7"/>
    <w:rsid w:val="00D4461C"/>
    <w:rsid w:val="00D46329"/>
    <w:rsid w:val="00D5150F"/>
    <w:rsid w:val="00D51665"/>
    <w:rsid w:val="00D5515D"/>
    <w:rsid w:val="00D56822"/>
    <w:rsid w:val="00D57F06"/>
    <w:rsid w:val="00D60BD0"/>
    <w:rsid w:val="00D64E50"/>
    <w:rsid w:val="00D66962"/>
    <w:rsid w:val="00D7031D"/>
    <w:rsid w:val="00D71B4F"/>
    <w:rsid w:val="00D71E1D"/>
    <w:rsid w:val="00D73704"/>
    <w:rsid w:val="00D75218"/>
    <w:rsid w:val="00D803E7"/>
    <w:rsid w:val="00D80E73"/>
    <w:rsid w:val="00D81C6A"/>
    <w:rsid w:val="00D83977"/>
    <w:rsid w:val="00D854B8"/>
    <w:rsid w:val="00D85FBE"/>
    <w:rsid w:val="00D91CAC"/>
    <w:rsid w:val="00D97EEE"/>
    <w:rsid w:val="00DA3866"/>
    <w:rsid w:val="00DA3AC4"/>
    <w:rsid w:val="00DA4870"/>
    <w:rsid w:val="00DA6E9E"/>
    <w:rsid w:val="00DB7123"/>
    <w:rsid w:val="00DD2B9A"/>
    <w:rsid w:val="00DD4059"/>
    <w:rsid w:val="00DD79CB"/>
    <w:rsid w:val="00DE073F"/>
    <w:rsid w:val="00DE11A8"/>
    <w:rsid w:val="00DE1482"/>
    <w:rsid w:val="00DF0237"/>
    <w:rsid w:val="00DF15E6"/>
    <w:rsid w:val="00DF3704"/>
    <w:rsid w:val="00DF401B"/>
    <w:rsid w:val="00E01E79"/>
    <w:rsid w:val="00E07BBF"/>
    <w:rsid w:val="00E132F0"/>
    <w:rsid w:val="00E145C1"/>
    <w:rsid w:val="00E168C8"/>
    <w:rsid w:val="00E24A7D"/>
    <w:rsid w:val="00E25F13"/>
    <w:rsid w:val="00E26D71"/>
    <w:rsid w:val="00E32887"/>
    <w:rsid w:val="00E33D28"/>
    <w:rsid w:val="00E35E96"/>
    <w:rsid w:val="00E46685"/>
    <w:rsid w:val="00E53C36"/>
    <w:rsid w:val="00E55B25"/>
    <w:rsid w:val="00E55F71"/>
    <w:rsid w:val="00E56411"/>
    <w:rsid w:val="00E56688"/>
    <w:rsid w:val="00E577B4"/>
    <w:rsid w:val="00E60AD5"/>
    <w:rsid w:val="00E63BCD"/>
    <w:rsid w:val="00E70487"/>
    <w:rsid w:val="00E70D1E"/>
    <w:rsid w:val="00E745B5"/>
    <w:rsid w:val="00E760C3"/>
    <w:rsid w:val="00E835DE"/>
    <w:rsid w:val="00E847CE"/>
    <w:rsid w:val="00E84DD3"/>
    <w:rsid w:val="00E87B4F"/>
    <w:rsid w:val="00E9097C"/>
    <w:rsid w:val="00E91DE2"/>
    <w:rsid w:val="00E93F73"/>
    <w:rsid w:val="00E958FE"/>
    <w:rsid w:val="00E969A9"/>
    <w:rsid w:val="00E96F27"/>
    <w:rsid w:val="00EA1D26"/>
    <w:rsid w:val="00EA4454"/>
    <w:rsid w:val="00EB136B"/>
    <w:rsid w:val="00EB75B6"/>
    <w:rsid w:val="00EC492F"/>
    <w:rsid w:val="00EC55B2"/>
    <w:rsid w:val="00EC6C89"/>
    <w:rsid w:val="00EE1CB5"/>
    <w:rsid w:val="00EE3FDB"/>
    <w:rsid w:val="00EE704A"/>
    <w:rsid w:val="00EF2E92"/>
    <w:rsid w:val="00EF5BF3"/>
    <w:rsid w:val="00F03E9E"/>
    <w:rsid w:val="00F05EEB"/>
    <w:rsid w:val="00F079B6"/>
    <w:rsid w:val="00F104FE"/>
    <w:rsid w:val="00F13468"/>
    <w:rsid w:val="00F17BA0"/>
    <w:rsid w:val="00F21129"/>
    <w:rsid w:val="00F216EB"/>
    <w:rsid w:val="00F22753"/>
    <w:rsid w:val="00F22888"/>
    <w:rsid w:val="00F2550D"/>
    <w:rsid w:val="00F25ABE"/>
    <w:rsid w:val="00F274E4"/>
    <w:rsid w:val="00F30E8B"/>
    <w:rsid w:val="00F33013"/>
    <w:rsid w:val="00F36035"/>
    <w:rsid w:val="00F361B6"/>
    <w:rsid w:val="00F40B06"/>
    <w:rsid w:val="00F419E6"/>
    <w:rsid w:val="00F41BC6"/>
    <w:rsid w:val="00F44E27"/>
    <w:rsid w:val="00F45C16"/>
    <w:rsid w:val="00F47E59"/>
    <w:rsid w:val="00F5277F"/>
    <w:rsid w:val="00F528C2"/>
    <w:rsid w:val="00F54040"/>
    <w:rsid w:val="00F5600E"/>
    <w:rsid w:val="00F626BD"/>
    <w:rsid w:val="00F65172"/>
    <w:rsid w:val="00F6539C"/>
    <w:rsid w:val="00F65D6F"/>
    <w:rsid w:val="00F728BA"/>
    <w:rsid w:val="00F75CA5"/>
    <w:rsid w:val="00F76756"/>
    <w:rsid w:val="00F774A3"/>
    <w:rsid w:val="00F82832"/>
    <w:rsid w:val="00F8393D"/>
    <w:rsid w:val="00F8459B"/>
    <w:rsid w:val="00F85AFB"/>
    <w:rsid w:val="00F86DC7"/>
    <w:rsid w:val="00F87B46"/>
    <w:rsid w:val="00F92ACF"/>
    <w:rsid w:val="00F92E5F"/>
    <w:rsid w:val="00F948A7"/>
    <w:rsid w:val="00F966CA"/>
    <w:rsid w:val="00FA73DD"/>
    <w:rsid w:val="00FB0133"/>
    <w:rsid w:val="00FB15E1"/>
    <w:rsid w:val="00FB207F"/>
    <w:rsid w:val="00FC6B21"/>
    <w:rsid w:val="00FD2835"/>
    <w:rsid w:val="00FD3794"/>
    <w:rsid w:val="00FD5E99"/>
    <w:rsid w:val="00FE100D"/>
    <w:rsid w:val="00FE2418"/>
    <w:rsid w:val="00FE7EB4"/>
    <w:rsid w:val="00FF20C4"/>
    <w:rsid w:val="00FF4C76"/>
    <w:rsid w:val="00FF662B"/>
    <w:rsid w:val="00FF66A6"/>
    <w:rsid w:val="00FF67F0"/>
    <w:rsid w:val="00FF7211"/>
    <w:rsid w:val="27360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uiPriority w:val="99"/>
    <w:rPr>
      <w:sz w:val="18"/>
      <w:szCs w:val="18"/>
    </w:rPr>
  </w:style>
  <w:style w:type="character" w:customStyle="1" w:styleId="14">
    <w:name w:val="标题 2 Char"/>
    <w:basedOn w:val="10"/>
    <w:link w:val="2"/>
    <w:uiPriority w:val="9"/>
    <w:rPr>
      <w:rFonts w:asciiTheme="majorHAnsi" w:hAnsiTheme="majorHAnsi" w:eastAsiaTheme="majorEastAsia" w:cstheme="majorBidi"/>
      <w:b/>
      <w:bCs/>
      <w:sz w:val="32"/>
      <w:szCs w:val="32"/>
    </w:rPr>
  </w:style>
  <w:style w:type="paragraph" w:styleId="15">
    <w:name w:val="List Paragraph"/>
    <w:basedOn w:val="1"/>
    <w:qFormat/>
    <w:uiPriority w:val="34"/>
    <w:pPr>
      <w:ind w:firstLine="420" w:firstLineChars="200"/>
    </w:pPr>
  </w:style>
  <w:style w:type="paragraph" w:customStyle="1" w:styleId="16">
    <w:name w:val="Char Char Char Char Char Char Char"/>
    <w:basedOn w:val="1"/>
    <w:uiPriority w:val="0"/>
    <w:pPr>
      <w:widowControl/>
      <w:spacing w:after="160" w:line="240" w:lineRule="exact"/>
      <w:jc w:val="left"/>
    </w:pPr>
    <w:rPr>
      <w:rFonts w:ascii="Times New Roman" w:hAnsi="Times New Roman" w:eastAsia="宋体" w:cs="Times New Roman"/>
      <w:szCs w:val="24"/>
    </w:rPr>
  </w:style>
  <w:style w:type="character" w:customStyle="1" w:styleId="17">
    <w:name w:val="批注框文本 Char"/>
    <w:basedOn w:val="10"/>
    <w:link w:val="4"/>
    <w:semiHidden/>
    <w:uiPriority w:val="99"/>
    <w:rPr>
      <w:sz w:val="18"/>
      <w:szCs w:val="18"/>
    </w:rPr>
  </w:style>
  <w:style w:type="paragraph" w:customStyle="1" w:styleId="18">
    <w:name w:val="Char Char Char Char Char Char Char1"/>
    <w:basedOn w:val="1"/>
    <w:uiPriority w:val="0"/>
    <w:pPr>
      <w:widowControl/>
      <w:spacing w:after="160" w:line="240" w:lineRule="exact"/>
      <w:jc w:val="left"/>
    </w:pPr>
    <w:rPr>
      <w:rFonts w:ascii="Times New Roman" w:hAnsi="Times New Roman" w:eastAsia="宋体" w:cs="Times New Roman"/>
      <w:szCs w:val="24"/>
    </w:rPr>
  </w:style>
  <w:style w:type="character" w:customStyle="1" w:styleId="19">
    <w:name w:val="批注文字 Char"/>
    <w:basedOn w:val="10"/>
    <w:link w:val="3"/>
    <w:semiHidden/>
    <w:uiPriority w:val="99"/>
  </w:style>
  <w:style w:type="character" w:customStyle="1" w:styleId="20">
    <w:name w:val="批注主题 Char"/>
    <w:basedOn w:val="19"/>
    <w:link w:val="8"/>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B4CA1-D880-48A4-955E-48F0EAC533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344</Words>
  <Characters>1965</Characters>
  <Lines>16</Lines>
  <Paragraphs>4</Paragraphs>
  <TotalTime>45</TotalTime>
  <ScaleCrop>false</ScaleCrop>
  <LinksUpToDate>false</LinksUpToDate>
  <CharactersWithSpaces>2305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2020-09-03T02:07:00Z</dcterms:created>
  <dc:creator>aa</dc:creator>
  <cp:lastModifiedBy>李瑶_Candice</cp:lastModifiedBy>
  <cp:lastPrinted>2020-10-26T07:18:00Z</cp:lastPrinted>
  <dcterms:modified xsi:type="dcterms:W3CDTF">2020-11-16T01:45:03Z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