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上海市资产评估协会</w:t>
      </w:r>
    </w:p>
    <w:p>
      <w:pPr>
        <w:widowControl/>
        <w:adjustRightInd w:val="0"/>
        <w:snapToGrid w:val="0"/>
        <w:jc w:val="center"/>
        <w:rPr>
          <w:rFonts w:hint="eastAsia"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执业质量检查人才库管理办法</w:t>
      </w:r>
    </w:p>
    <w:p>
      <w:pPr>
        <w:widowControl/>
        <w:adjustRightInd w:val="0"/>
        <w:snapToGrid w:val="0"/>
        <w:jc w:val="center"/>
        <w:rPr>
          <w:rFonts w:ascii="黑体" w:hAnsi="黑体" w:eastAsia="黑体" w:cs="宋体"/>
          <w:bCs/>
          <w:kern w:val="0"/>
          <w:sz w:val="32"/>
          <w:szCs w:val="32"/>
        </w:rPr>
      </w:pPr>
      <w:r>
        <w:rPr>
          <w:rFonts w:hint="eastAsia" w:ascii="黑体" w:hAnsi="黑体" w:eastAsia="黑体" w:cs="宋体"/>
          <w:bCs/>
          <w:kern w:val="0"/>
          <w:sz w:val="32"/>
          <w:szCs w:val="32"/>
        </w:rPr>
        <w:t>第一章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总</w:t>
      </w:r>
      <w:r>
        <w:rPr>
          <w:rFonts w:ascii="黑体" w:hAnsi="黑体" w:eastAsia="黑体" w:cs="宋体"/>
          <w:bCs/>
          <w:kern w:val="0"/>
          <w:sz w:val="32"/>
          <w:szCs w:val="32"/>
        </w:rPr>
        <w:t xml:space="preserve">  </w:t>
      </w:r>
      <w:r>
        <w:rPr>
          <w:rFonts w:hint="eastAsia" w:ascii="黑体" w:hAnsi="黑体" w:eastAsia="黑体" w:cs="宋体"/>
          <w:bCs/>
          <w:kern w:val="0"/>
          <w:sz w:val="32"/>
          <w:szCs w:val="32"/>
        </w:rPr>
        <w:t>则</w:t>
      </w:r>
    </w:p>
    <w:p>
      <w:pPr>
        <w:ind w:firstLine="643" w:firstLineChars="200"/>
        <w:rPr>
          <w:rFonts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为了规范上海市资产评估行业的执业质量检查工作，帮助、教育、督促本市资产评估机构（以下简称</w:t>
      </w:r>
      <w:r>
        <w:rPr>
          <w:rFonts w:hint="eastAsia" w:ascii="仿宋" w:hAnsi="仿宋" w:eastAsia="仿宋"/>
          <w:sz w:val="32"/>
          <w:szCs w:val="32"/>
          <w:lang w:eastAsia="zh-CN"/>
        </w:rPr>
        <w:t>“</w:t>
      </w:r>
      <w:r>
        <w:rPr>
          <w:rFonts w:hint="eastAsia" w:ascii="仿宋" w:hAnsi="仿宋" w:eastAsia="仿宋"/>
          <w:sz w:val="32"/>
          <w:szCs w:val="32"/>
        </w:rPr>
        <w:t>机构</w:t>
      </w:r>
      <w:r>
        <w:rPr>
          <w:rFonts w:hint="eastAsia" w:ascii="仿宋" w:hAnsi="仿宋" w:eastAsia="仿宋"/>
          <w:sz w:val="32"/>
          <w:szCs w:val="32"/>
          <w:lang w:eastAsia="zh-CN"/>
        </w:rPr>
        <w:t>”</w:t>
      </w:r>
      <w:r>
        <w:rPr>
          <w:rFonts w:hint="eastAsia" w:ascii="仿宋" w:hAnsi="仿宋" w:eastAsia="仿宋"/>
          <w:sz w:val="32"/>
          <w:szCs w:val="32"/>
        </w:rPr>
        <w:t>）和资产评估师（以下简称</w:t>
      </w:r>
      <w:r>
        <w:rPr>
          <w:rFonts w:hint="eastAsia" w:ascii="仿宋" w:hAnsi="仿宋" w:eastAsia="仿宋"/>
          <w:sz w:val="32"/>
          <w:szCs w:val="32"/>
          <w:lang w:eastAsia="zh-CN"/>
        </w:rPr>
        <w:t>“</w:t>
      </w:r>
      <w:r>
        <w:rPr>
          <w:rFonts w:hint="eastAsia" w:ascii="仿宋" w:hAnsi="仿宋" w:eastAsia="仿宋"/>
          <w:sz w:val="32"/>
          <w:szCs w:val="32"/>
        </w:rPr>
        <w:t>评估师</w:t>
      </w:r>
      <w:r>
        <w:rPr>
          <w:rFonts w:hint="eastAsia" w:ascii="仿宋" w:hAnsi="仿宋" w:eastAsia="仿宋"/>
          <w:sz w:val="32"/>
          <w:szCs w:val="32"/>
          <w:lang w:eastAsia="zh-CN"/>
        </w:rPr>
        <w:t>”</w:t>
      </w:r>
      <w:r>
        <w:rPr>
          <w:rFonts w:hint="eastAsia" w:ascii="仿宋" w:hAnsi="仿宋" w:eastAsia="仿宋"/>
          <w:sz w:val="32"/>
          <w:szCs w:val="32"/>
        </w:rPr>
        <w:t>）提高职业道德和执业质量,加强对执业质量检查人员的管理，根据</w:t>
      </w:r>
      <w:r>
        <w:rPr>
          <w:rFonts w:ascii="仿宋" w:hAnsi="仿宋" w:eastAsia="仿宋"/>
          <w:sz w:val="32"/>
          <w:szCs w:val="32"/>
        </w:rPr>
        <w:t>中国资产评估协会（以下简称</w:t>
      </w:r>
      <w:r>
        <w:rPr>
          <w:rFonts w:hint="eastAsia" w:ascii="仿宋" w:hAnsi="仿宋" w:eastAsia="仿宋"/>
          <w:sz w:val="32"/>
          <w:szCs w:val="32"/>
          <w:lang w:eastAsia="zh-CN"/>
        </w:rPr>
        <w:t>“</w:t>
      </w:r>
      <w:r>
        <w:rPr>
          <w:rFonts w:ascii="仿宋" w:hAnsi="仿宋" w:eastAsia="仿宋"/>
          <w:sz w:val="32"/>
          <w:szCs w:val="32"/>
        </w:rPr>
        <w:t>中评协</w:t>
      </w:r>
      <w:r>
        <w:rPr>
          <w:rFonts w:hint="eastAsia" w:ascii="仿宋" w:hAnsi="仿宋" w:eastAsia="仿宋"/>
          <w:sz w:val="32"/>
          <w:szCs w:val="32"/>
          <w:lang w:eastAsia="zh-CN"/>
        </w:rPr>
        <w:t>”</w:t>
      </w:r>
      <w:r>
        <w:rPr>
          <w:rFonts w:ascii="仿宋" w:hAnsi="仿宋" w:eastAsia="仿宋"/>
          <w:sz w:val="32"/>
          <w:szCs w:val="32"/>
        </w:rPr>
        <w:t>）</w:t>
      </w:r>
      <w:r>
        <w:rPr>
          <w:rFonts w:hint="eastAsia" w:ascii="仿宋" w:hAnsi="仿宋" w:eastAsia="仿宋"/>
          <w:sz w:val="32"/>
          <w:szCs w:val="32"/>
        </w:rPr>
        <w:t>《资产评估执业质量自律检查办法》的规定，制定本办法。</w:t>
      </w:r>
    </w:p>
    <w:p>
      <w:pPr>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本办法所称的执业质量检查人才库（以下简称</w:t>
      </w:r>
      <w:r>
        <w:rPr>
          <w:rFonts w:hint="eastAsia" w:ascii="仿宋" w:hAnsi="仿宋" w:eastAsia="仿宋"/>
          <w:sz w:val="32"/>
          <w:szCs w:val="32"/>
          <w:lang w:eastAsia="zh-CN"/>
        </w:rPr>
        <w:t>“</w:t>
      </w:r>
      <w:r>
        <w:rPr>
          <w:rFonts w:hint="eastAsia" w:ascii="仿宋" w:hAnsi="仿宋" w:eastAsia="仿宋"/>
          <w:sz w:val="32"/>
          <w:szCs w:val="32"/>
        </w:rPr>
        <w:t>检查人才库</w:t>
      </w:r>
      <w:r>
        <w:rPr>
          <w:rFonts w:hint="eastAsia" w:ascii="仿宋" w:hAnsi="仿宋" w:eastAsia="仿宋"/>
          <w:sz w:val="32"/>
          <w:szCs w:val="32"/>
          <w:lang w:eastAsia="zh-CN"/>
        </w:rPr>
        <w:t>”</w:t>
      </w:r>
      <w:r>
        <w:rPr>
          <w:rFonts w:hint="eastAsia" w:ascii="仿宋" w:hAnsi="仿宋" w:eastAsia="仿宋"/>
          <w:sz w:val="32"/>
          <w:szCs w:val="32"/>
        </w:rPr>
        <w:t>），是指</w:t>
      </w:r>
      <w:r>
        <w:rPr>
          <w:rFonts w:ascii="仿宋" w:hAnsi="仿宋" w:eastAsia="仿宋"/>
          <w:sz w:val="32"/>
          <w:szCs w:val="32"/>
        </w:rPr>
        <w:t>上海市资产评估协会（以下简称</w:t>
      </w:r>
      <w:r>
        <w:rPr>
          <w:rFonts w:hint="eastAsia" w:ascii="仿宋" w:hAnsi="仿宋" w:eastAsia="仿宋"/>
          <w:sz w:val="32"/>
          <w:szCs w:val="32"/>
          <w:lang w:eastAsia="zh-CN"/>
        </w:rPr>
        <w:t>“</w:t>
      </w:r>
      <w:r>
        <w:rPr>
          <w:rFonts w:ascii="仿宋" w:hAnsi="仿宋" w:eastAsia="仿宋"/>
          <w:sz w:val="32"/>
          <w:szCs w:val="32"/>
        </w:rPr>
        <w:t>上评协</w:t>
      </w:r>
      <w:r>
        <w:rPr>
          <w:rFonts w:hint="eastAsia" w:ascii="仿宋" w:hAnsi="仿宋" w:eastAsia="仿宋"/>
          <w:sz w:val="32"/>
          <w:szCs w:val="32"/>
          <w:lang w:eastAsia="zh-CN"/>
        </w:rPr>
        <w:t>”</w:t>
      </w:r>
      <w:r>
        <w:rPr>
          <w:rFonts w:ascii="仿宋" w:hAnsi="仿宋" w:eastAsia="仿宋"/>
          <w:sz w:val="32"/>
          <w:szCs w:val="32"/>
        </w:rPr>
        <w:t>）</w:t>
      </w:r>
      <w:r>
        <w:rPr>
          <w:rFonts w:hint="eastAsia" w:ascii="仿宋" w:hAnsi="仿宋" w:eastAsia="仿宋"/>
          <w:sz w:val="32"/>
          <w:szCs w:val="32"/>
        </w:rPr>
        <w:t>根据相关规定组建的由评估师组成的，主要负责对本市机构及评估师的执业质量和职业道德情况进行检查的检查人员队伍。上评协每年组织开展的执业质量检查以及其他专项检查等的检查人员一般从检查人才库中抽调。</w:t>
      </w:r>
    </w:p>
    <w:p>
      <w:pPr>
        <w:widowControl/>
        <w:adjustRightInd w:val="0"/>
        <w:snapToGrid w:val="0"/>
        <w:jc w:val="center"/>
        <w:rPr>
          <w:rFonts w:ascii="黑体" w:hAnsi="黑体" w:eastAsia="黑体" w:cs="宋体"/>
          <w:bCs/>
          <w:kern w:val="0"/>
          <w:sz w:val="32"/>
          <w:szCs w:val="32"/>
        </w:rPr>
      </w:pPr>
      <w:r>
        <w:rPr>
          <w:rFonts w:hint="eastAsia" w:ascii="黑体" w:hAnsi="黑体" w:eastAsia="黑体" w:cs="宋体"/>
          <w:bCs/>
          <w:kern w:val="0"/>
          <w:sz w:val="32"/>
          <w:szCs w:val="32"/>
        </w:rPr>
        <w:t>第二章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检查人才库人员的聘任程序及规则</w:t>
      </w:r>
    </w:p>
    <w:p>
      <w:pPr>
        <w:ind w:firstLine="643" w:firstLineChars="200"/>
        <w:rPr>
          <w:rFonts w:ascii="仿宋" w:hAnsi="仿宋" w:eastAsia="仿宋"/>
          <w:sz w:val="32"/>
          <w:szCs w:val="32"/>
        </w:rPr>
      </w:pPr>
      <w:r>
        <w:rPr>
          <w:rFonts w:hint="eastAsia" w:ascii="仿宋" w:hAnsi="仿宋" w:eastAsia="仿宋"/>
          <w:b/>
          <w:sz w:val="32"/>
          <w:szCs w:val="32"/>
        </w:rPr>
        <w:t>第三条</w:t>
      </w:r>
      <w:r>
        <w:rPr>
          <w:rFonts w:ascii="仿宋" w:hAnsi="仿宋" w:eastAsia="仿宋"/>
          <w:sz w:val="32"/>
          <w:szCs w:val="32"/>
        </w:rPr>
        <w:t xml:space="preserve"> </w:t>
      </w:r>
      <w:r>
        <w:rPr>
          <w:rFonts w:hint="eastAsia" w:ascii="仿宋" w:hAnsi="仿宋" w:eastAsia="仿宋"/>
          <w:sz w:val="32"/>
          <w:szCs w:val="32"/>
        </w:rPr>
        <w:t>被聘任的检查人才库人员应符合以下条件:</w:t>
      </w:r>
    </w:p>
    <w:p>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一)</w:t>
      </w:r>
      <w:r>
        <w:rPr>
          <w:rFonts w:hint="eastAsia" w:ascii="仿宋" w:hAnsi="仿宋" w:eastAsia="仿宋"/>
          <w:sz w:val="32"/>
          <w:szCs w:val="32"/>
        </w:rPr>
        <w:t>持有资产评估师职业资格证书（登记卡）5 年以上并担任项目经理及以上职务；</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专业素质高、实践经验丰富，熟悉资产评估等相关专业理论和实务或具有其他专业特长；</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职业道德良好，最近三年无刑事、行政处罚或行业惩戒等不良记录；</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具有高度的责任心和良好的沟通、协调能力；</w:t>
      </w:r>
    </w:p>
    <w:p>
      <w:pPr>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保证按时参加检查前培训和全部检查工作；</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身体健康，能胜任检查工</w:t>
      </w:r>
      <w:bookmarkStart w:id="0" w:name="_GoBack"/>
      <w:bookmarkEnd w:id="0"/>
      <w:r>
        <w:rPr>
          <w:rFonts w:hint="eastAsia" w:ascii="仿宋" w:hAnsi="仿宋" w:eastAsia="仿宋"/>
          <w:sz w:val="32"/>
          <w:szCs w:val="32"/>
        </w:rPr>
        <w:t>作，年龄在 6</w:t>
      </w:r>
      <w:r>
        <w:rPr>
          <w:rFonts w:ascii="仿宋" w:hAnsi="仿宋" w:eastAsia="仿宋"/>
          <w:sz w:val="32"/>
          <w:szCs w:val="32"/>
        </w:rPr>
        <w:t>0</w:t>
      </w:r>
      <w:r>
        <w:rPr>
          <w:rFonts w:hint="eastAsia" w:ascii="仿宋" w:hAnsi="仿宋" w:eastAsia="仿宋"/>
          <w:sz w:val="32"/>
          <w:szCs w:val="32"/>
        </w:rPr>
        <w:t xml:space="preserve"> 岁以下。</w:t>
      </w:r>
    </w:p>
    <w:p>
      <w:pPr>
        <w:ind w:firstLine="643" w:firstLineChars="200"/>
        <w:rPr>
          <w:rFonts w:ascii="仿宋" w:hAnsi="仿宋" w:eastAsia="仿宋"/>
          <w:sz w:val="32"/>
          <w:szCs w:val="32"/>
        </w:rPr>
      </w:pPr>
      <w:r>
        <w:rPr>
          <w:rFonts w:hint="eastAsia" w:ascii="仿宋" w:hAnsi="仿宋" w:eastAsia="仿宋"/>
          <w:b/>
          <w:sz w:val="32"/>
          <w:szCs w:val="32"/>
        </w:rPr>
        <w:t>第四条</w:t>
      </w:r>
      <w:r>
        <w:rPr>
          <w:rFonts w:ascii="仿宋" w:hAnsi="仿宋" w:eastAsia="仿宋"/>
          <w:sz w:val="32"/>
          <w:szCs w:val="32"/>
        </w:rPr>
        <w:t xml:space="preserve"> </w:t>
      </w:r>
      <w:r>
        <w:rPr>
          <w:rFonts w:hint="eastAsia" w:ascii="仿宋" w:hAnsi="仿宋" w:eastAsia="仿宋"/>
          <w:sz w:val="32"/>
          <w:szCs w:val="32"/>
        </w:rPr>
        <w:t>检查人才库的选拔采取评估师自荐和机构推荐的形式。上评协将通过组织对有关推荐人员执业情况核查了解、资格评审小组评审（仅当推荐人员大于计划入库人员）、网站公示等方式，并经上评协秘书长核准后成为检查人才库人员。</w:t>
      </w:r>
    </w:p>
    <w:p>
      <w:pPr>
        <w:ind w:firstLine="643" w:firstLineChars="200"/>
        <w:rPr>
          <w:rFonts w:ascii="仿宋" w:hAnsi="仿宋" w:eastAsia="仿宋"/>
          <w:sz w:val="32"/>
          <w:szCs w:val="32"/>
        </w:rPr>
      </w:pPr>
      <w:r>
        <w:rPr>
          <w:rFonts w:hint="eastAsia" w:ascii="仿宋" w:hAnsi="仿宋" w:eastAsia="仿宋"/>
          <w:b/>
          <w:sz w:val="32"/>
          <w:szCs w:val="32"/>
        </w:rPr>
        <w:t>第五条</w:t>
      </w:r>
      <w:r>
        <w:rPr>
          <w:rFonts w:ascii="仿宋" w:hAnsi="仿宋" w:eastAsia="仿宋"/>
          <w:sz w:val="32"/>
          <w:szCs w:val="32"/>
        </w:rPr>
        <w:t xml:space="preserve"> </w:t>
      </w:r>
      <w:r>
        <w:rPr>
          <w:rFonts w:hint="eastAsia" w:ascii="仿宋" w:hAnsi="仿宋" w:eastAsia="仿宋"/>
          <w:sz w:val="32"/>
          <w:szCs w:val="32"/>
        </w:rPr>
        <w:t>曾被授予全国、本市评估行业先进、优秀评估师或受到表彰的人员；通过上评协行业优秀人才选拔考试的人员；曾经参加中评协或上评协组织的行业执业质量检查的人员；历年被评为优秀检查人员的，优先考虑入选检查人才库；上评协必要时可以在专门专业委员会中直接调用有关人员，作为检查人员予以任用。</w:t>
      </w:r>
    </w:p>
    <w:p>
      <w:pPr>
        <w:ind w:firstLine="643" w:firstLineChars="200"/>
        <w:rPr>
          <w:rFonts w:ascii="仿宋" w:hAnsi="仿宋" w:eastAsia="仿宋"/>
          <w:sz w:val="32"/>
          <w:szCs w:val="32"/>
        </w:rPr>
      </w:pPr>
      <w:r>
        <w:rPr>
          <w:rFonts w:hint="eastAsia" w:ascii="仿宋" w:hAnsi="仿宋" w:eastAsia="仿宋"/>
          <w:b/>
          <w:sz w:val="32"/>
          <w:szCs w:val="32"/>
        </w:rPr>
        <w:t>第六条</w:t>
      </w:r>
      <w:r>
        <w:rPr>
          <w:rFonts w:ascii="仿宋" w:hAnsi="仿宋" w:eastAsia="仿宋"/>
          <w:sz w:val="32"/>
          <w:szCs w:val="32"/>
        </w:rPr>
        <w:t xml:space="preserve"> </w:t>
      </w:r>
      <w:r>
        <w:rPr>
          <w:rFonts w:hint="eastAsia" w:ascii="仿宋" w:hAnsi="仿宋" w:eastAsia="仿宋"/>
          <w:sz w:val="32"/>
          <w:szCs w:val="32"/>
        </w:rPr>
        <w:t>资格评审小组由上评协秘书处工作人员、专业技术委员会委员、机构资深专业人士等组成。当评估师自荐和机构推荐的全部人员大于上评协计划入库人员时，上评协将各机构上报的检查人才库推荐人员经遴选后由资格评审小组进行评审。</w:t>
      </w:r>
    </w:p>
    <w:p>
      <w:pPr>
        <w:ind w:firstLine="643" w:firstLineChars="200"/>
        <w:rPr>
          <w:rFonts w:ascii="仿宋" w:hAnsi="仿宋" w:eastAsia="仿宋"/>
          <w:sz w:val="32"/>
          <w:szCs w:val="32"/>
        </w:rPr>
      </w:pPr>
      <w:r>
        <w:rPr>
          <w:rFonts w:hint="eastAsia" w:ascii="仿宋" w:hAnsi="仿宋" w:eastAsia="仿宋"/>
          <w:b/>
          <w:sz w:val="32"/>
          <w:szCs w:val="32"/>
        </w:rPr>
        <w:t>第七条</w:t>
      </w:r>
      <w:r>
        <w:rPr>
          <w:rFonts w:ascii="仿宋" w:hAnsi="仿宋" w:eastAsia="仿宋"/>
          <w:sz w:val="32"/>
          <w:szCs w:val="32"/>
        </w:rPr>
        <w:t xml:space="preserve"> </w:t>
      </w:r>
      <w:r>
        <w:rPr>
          <w:rFonts w:hint="eastAsia" w:ascii="仿宋" w:hAnsi="仿宋" w:eastAsia="仿宋"/>
          <w:sz w:val="32"/>
          <w:szCs w:val="32"/>
        </w:rPr>
        <w:t>检查人才库人员采取聘任制，由上评协公开发布聘任文件，每次任期五年，可连聘连任。每年年底上评协也可根据人员变动等情况，在任期未满前补充聘任检查人员，以扩充检查人才库规模。补充聘任流程基本参照人才库选拔流程。</w:t>
      </w:r>
    </w:p>
    <w:p>
      <w:pPr>
        <w:widowControl/>
        <w:adjustRightInd w:val="0"/>
        <w:snapToGrid w:val="0"/>
        <w:jc w:val="center"/>
        <w:rPr>
          <w:rFonts w:ascii="黑体" w:hAnsi="黑体" w:eastAsia="黑体" w:cs="宋体"/>
          <w:bCs/>
          <w:kern w:val="0"/>
          <w:sz w:val="32"/>
          <w:szCs w:val="32"/>
        </w:rPr>
      </w:pPr>
      <w:r>
        <w:rPr>
          <w:rFonts w:hint="eastAsia" w:ascii="黑体" w:hAnsi="黑体" w:eastAsia="黑体" w:cs="宋体"/>
          <w:bCs/>
          <w:kern w:val="0"/>
          <w:sz w:val="32"/>
          <w:szCs w:val="32"/>
        </w:rPr>
        <w:t>第三章</w:t>
      </w:r>
      <w:r>
        <w:rPr>
          <w:rFonts w:ascii="黑体" w:hAnsi="黑体" w:eastAsia="黑体" w:cs="宋体"/>
          <w:bCs/>
          <w:kern w:val="0"/>
          <w:sz w:val="32"/>
          <w:szCs w:val="32"/>
        </w:rPr>
        <w:t xml:space="preserve"> </w:t>
      </w:r>
      <w:r>
        <w:rPr>
          <w:rFonts w:hint="eastAsia" w:ascii="黑体" w:hAnsi="黑体" w:eastAsia="黑体" w:cs="宋体"/>
          <w:bCs/>
          <w:kern w:val="0"/>
          <w:sz w:val="32"/>
          <w:szCs w:val="32"/>
        </w:rPr>
        <w:t>检查人才库人员的权利义务及工作纪律</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ascii="仿宋" w:hAnsi="仿宋" w:eastAsia="仿宋"/>
          <w:sz w:val="32"/>
          <w:szCs w:val="32"/>
        </w:rPr>
        <w:t xml:space="preserve"> </w:t>
      </w:r>
      <w:r>
        <w:rPr>
          <w:rFonts w:hint="eastAsia" w:ascii="仿宋" w:hAnsi="仿宋" w:eastAsia="仿宋"/>
          <w:sz w:val="32"/>
          <w:szCs w:val="32"/>
        </w:rPr>
        <w:t>被抽调参加当期执业质量检查的检查人才库人员，应当参加中评协或上评协举办的有关执业质量检查工作会议及培训。通过培训掌握检查工作重点、检查方法、检查工作的底稿编制及了解相关检查要求。</w:t>
      </w:r>
    </w:p>
    <w:p>
      <w:pPr>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检查人员在检查工作中有权查阅、记录、复印被检查机构的评估报告、工作底稿及其内部管理的有关文件、资料，有权向机构有关人员进行询问。</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检查人员在检查工作中应当恪尽职守，坚持原则，保持谨慎态度，发表客观、公正的检查意见，不得徇私舞弊。</w:t>
      </w:r>
    </w:p>
    <w:p>
      <w:pPr>
        <w:ind w:firstLine="643" w:firstLineChars="200"/>
        <w:rPr>
          <w:rFonts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检查人员应服从安排、听从指挥、坚守岗位，工作上互相配合。不得擅离职守、无故缺席，请假需经检查组负责人批准。</w:t>
      </w:r>
    </w:p>
    <w:p>
      <w:pPr>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检查人员实行回避制度。当检查人员与被检查机构、评估师或其他有关人员以及资产评估客户存有利害关系，应当回避。</w:t>
      </w:r>
    </w:p>
    <w:p>
      <w:pPr>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检查人员应当遵守保密原则，对在检查中了解的机构、评估师或其他有关人员以及资产评估客户的有关信息和情况等均有保密义务。检查人员在检查过程中了解到的业务约定书、评估报告或工作底稿等的内容应当予以保密，不得用于与检查工作无关的任何用途，也不得泄露给与检查工作无关的任何人员。</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ab/>
      </w:r>
      <w:r>
        <w:rPr>
          <w:rFonts w:hint="eastAsia" w:ascii="仿宋" w:hAnsi="仿宋" w:eastAsia="仿宋"/>
          <w:sz w:val="32"/>
          <w:szCs w:val="32"/>
        </w:rPr>
        <w:t>检查人员在检查中应当清正、廉洁、自律，食、住、行均应遵循勤俭节约的原则，严禁铺张浪费。检查人员不得接受被检查机构和评估师的宴请，不得接受被检查机构</w:t>
      </w:r>
      <w:r>
        <w:rPr>
          <w:rFonts w:ascii="仿宋" w:hAnsi="仿宋" w:eastAsia="仿宋"/>
          <w:sz w:val="32"/>
          <w:szCs w:val="32"/>
        </w:rPr>
        <w:t>和</w:t>
      </w:r>
      <w:r>
        <w:rPr>
          <w:rFonts w:hint="eastAsia" w:ascii="仿宋" w:hAnsi="仿宋" w:eastAsia="仿宋"/>
          <w:sz w:val="32"/>
          <w:szCs w:val="32"/>
        </w:rPr>
        <w:t>评估师的礼品、礼金及钱物，不得参加被检查机构和评估师安排得营利性娱乐场所的活动。</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sz w:val="32"/>
          <w:szCs w:val="32"/>
        </w:rPr>
        <w:t xml:space="preserve"> 检查人员参加执业质量检查的时间可部分折算接受继续教育的学时。</w:t>
      </w:r>
    </w:p>
    <w:p>
      <w:pPr>
        <w:ind w:firstLine="643" w:firstLineChars="200"/>
        <w:rPr>
          <w:rFonts w:ascii="仿宋" w:hAnsi="仿宋" w:eastAsia="仿宋"/>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上评协应向参加执业质量检查的人员支付适当的报酬，并对表现突出的检查人员予以表彰、奖励。</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检查人才库人员可优先参加中评协或上评协举办的各类培训、交流研讨、考察等活动。</w:t>
      </w:r>
    </w:p>
    <w:p>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检查人才库人员违反本办法规定情节严重的，提请惩戒委员会予以必要的行业惩戒。</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聘用期间，发现下列情形的，上评协即予以解聘， 并公开发布解聘文件：</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受到刑事处罚的；</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w:t>
      </w:r>
      <w:r>
        <w:rPr>
          <w:rFonts w:hint="eastAsia" w:ascii="仿宋" w:hAnsi="仿宋" w:eastAsia="仿宋"/>
          <w:sz w:val="32"/>
          <w:szCs w:val="32"/>
        </w:rPr>
        <w:t>在执业中因违规行为受到行政处罚的；</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因执业质量或职业道德等问题受到行业惩戒的；</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其他应予解聘的情形。</w:t>
      </w:r>
    </w:p>
    <w:p>
      <w:pPr>
        <w:widowControl/>
        <w:adjustRightInd w:val="0"/>
        <w:snapToGrid w:val="0"/>
        <w:jc w:val="center"/>
        <w:rPr>
          <w:rFonts w:ascii="黑体" w:hAnsi="黑体" w:eastAsia="黑体" w:cs="宋体"/>
          <w:bCs/>
          <w:kern w:val="0"/>
          <w:sz w:val="32"/>
          <w:szCs w:val="32"/>
        </w:rPr>
      </w:pPr>
      <w:r>
        <w:rPr>
          <w:rFonts w:hint="eastAsia" w:ascii="黑体" w:hAnsi="黑体" w:eastAsia="黑体" w:cs="宋体"/>
          <w:bCs/>
          <w:kern w:val="0"/>
          <w:sz w:val="32"/>
          <w:szCs w:val="32"/>
        </w:rPr>
        <w:t>第四章</w:t>
      </w:r>
      <w:r>
        <w:rPr>
          <w:rFonts w:ascii="黑体" w:hAnsi="黑体" w:eastAsia="黑体" w:cs="宋体"/>
          <w:bCs/>
          <w:kern w:val="0"/>
          <w:sz w:val="32"/>
          <w:szCs w:val="32"/>
        </w:rPr>
        <w:t xml:space="preserve"> </w:t>
      </w:r>
      <w:r>
        <w:rPr>
          <w:rFonts w:hint="eastAsia" w:ascii="黑体" w:hAnsi="黑体" w:eastAsia="黑体" w:cs="宋体"/>
          <w:bCs/>
          <w:kern w:val="0"/>
          <w:sz w:val="32"/>
          <w:szCs w:val="32"/>
        </w:rPr>
        <w:t>附</w:t>
      </w:r>
      <w:r>
        <w:rPr>
          <w:rFonts w:ascii="黑体" w:hAnsi="黑体" w:eastAsia="黑体" w:cs="宋体"/>
          <w:bCs/>
          <w:kern w:val="0"/>
          <w:sz w:val="32"/>
          <w:szCs w:val="32"/>
        </w:rPr>
        <w:t xml:space="preserve">  </w:t>
      </w:r>
      <w:r>
        <w:rPr>
          <w:rFonts w:hint="eastAsia" w:ascii="黑体" w:hAnsi="黑体" w:eastAsia="黑体" w:cs="宋体"/>
          <w:bCs/>
          <w:kern w:val="0"/>
          <w:sz w:val="32"/>
          <w:szCs w:val="32"/>
        </w:rPr>
        <w:t>则</w:t>
      </w:r>
    </w:p>
    <w:p>
      <w:pPr>
        <w:ind w:firstLine="643" w:firstLineChars="200"/>
        <w:rPr>
          <w:rFonts w:ascii="仿宋" w:hAnsi="仿宋" w:eastAsia="仿宋" w:cs="仿宋"/>
          <w:sz w:val="32"/>
          <w:szCs w:val="32"/>
        </w:rPr>
      </w:pPr>
      <w:r>
        <w:rPr>
          <w:rFonts w:hint="eastAsia" w:ascii="仿宋" w:hAnsi="仿宋" w:eastAsia="仿宋" w:cs="仿宋"/>
          <w:b/>
          <w:sz w:val="32"/>
          <w:szCs w:val="32"/>
        </w:rPr>
        <w:t xml:space="preserve">第二十条 </w:t>
      </w:r>
      <w:r>
        <w:rPr>
          <w:rFonts w:hint="eastAsia" w:ascii="仿宋" w:hAnsi="仿宋" w:eastAsia="仿宋" w:cs="仿宋"/>
          <w:sz w:val="32"/>
          <w:szCs w:val="32"/>
        </w:rPr>
        <w:t>本办法自</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日起施行。2012年7月19日上评协发布的《上海市资产评估协会执业质量检查人才库管理办法（试行）》（沪评协﹝2012﹞31号）同时废止。</w:t>
      </w:r>
    </w:p>
    <w:p>
      <w:pPr>
        <w:rPr>
          <w:rFonts w:ascii="仿宋" w:hAnsi="仿宋" w:eastAsia="仿宋" w:cs="仿宋"/>
          <w:sz w:val="32"/>
          <w:szCs w:val="32"/>
        </w:rPr>
      </w:pPr>
      <w:r>
        <w:rPr>
          <w:rFonts w:hint="eastAsia" w:ascii="仿宋" w:hAnsi="仿宋" w:eastAsia="仿宋" w:cs="仿宋"/>
          <w:sz w:val="32"/>
          <w:szCs w:val="32"/>
        </w:rPr>
        <w:t xml:space="preserve"> </w:t>
      </w:r>
    </w:p>
    <w:p>
      <w:pPr>
        <w:widowControl/>
        <w:jc w:val="left"/>
        <w:rPr>
          <w:rFonts w:hint="eastAsia" w:ascii="仿宋" w:hAnsi="仿宋" w:eastAsia="仿宋"/>
          <w:sz w:val="32"/>
          <w:szCs w:val="32"/>
          <w:lang w:val="en-US" w:eastAsia="zh-CN"/>
        </w:rPr>
      </w:pPr>
      <w:r>
        <w:rPr>
          <w:rFonts w:hint="eastAsia" w:ascii="仿宋" w:hAnsi="仿宋" w:eastAsia="仿宋"/>
          <w:sz w:val="32"/>
          <w:szCs w:val="32"/>
          <w:lang w:val="en-US" w:eastAsia="zh-CN"/>
        </w:rPr>
        <w:t>附件：</w:t>
      </w:r>
    </w:p>
    <w:p>
      <w:pPr>
        <w:widowControl/>
        <w:ind w:firstLine="420"/>
        <w:jc w:val="left"/>
        <w:rPr>
          <w:rFonts w:ascii="仿宋" w:hAnsi="仿宋" w:eastAsia="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bCs w:val="0"/>
          <w:sz w:val="32"/>
          <w:szCs w:val="32"/>
        </w:rPr>
        <w:t>上海市资产评估协会执业质量检查人才库人员推荐表</w:t>
      </w:r>
      <w:r>
        <w:rPr>
          <w:rFonts w:ascii="仿宋" w:hAnsi="仿宋" w:eastAsia="仿宋"/>
          <w:sz w:val="32"/>
          <w:szCs w:val="32"/>
        </w:rPr>
        <w:br w:type="page"/>
      </w:r>
    </w:p>
    <w:p>
      <w:pPr>
        <w:spacing w:before="43"/>
        <w:rPr>
          <w:sz w:val="32"/>
          <w:szCs w:val="32"/>
        </w:rPr>
      </w:pPr>
      <w:r>
        <w:rPr>
          <w:rFonts w:hint="eastAsia" w:ascii="黑体" w:hAnsi="黑体" w:eastAsia="黑体" w:cs="黑体"/>
          <w:b/>
          <w:bCs w:val="0"/>
          <w:sz w:val="32"/>
          <w:szCs w:val="32"/>
        </w:rPr>
        <w:t>附表</w:t>
      </w:r>
    </w:p>
    <w:p>
      <w:pPr>
        <w:jc w:val="center"/>
        <w:rPr>
          <w:rFonts w:ascii="方正小标宋简体" w:hAnsi="仿宋" w:eastAsia="方正小标宋简体" w:cs="Times New Roman"/>
          <w:bCs/>
          <w:sz w:val="32"/>
          <w:szCs w:val="32"/>
        </w:rPr>
      </w:pPr>
      <w:r>
        <w:rPr>
          <w:rFonts w:hint="eastAsia" w:ascii="方正小标宋简体" w:hAnsi="仿宋" w:eastAsia="方正小标宋简体" w:cs="Times New Roman"/>
          <w:bCs/>
          <w:sz w:val="32"/>
          <w:szCs w:val="32"/>
        </w:rPr>
        <w:t>上海市资产评估协会执业质量检查人才库人员推荐表</w:t>
      </w:r>
    </w:p>
    <w:p>
      <w:pPr>
        <w:tabs>
          <w:tab w:val="left" w:pos="3960"/>
        </w:tabs>
        <w:spacing w:before="73"/>
        <w:jc w:val="center"/>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pacing w:val="-3"/>
          <w:sz w:val="32"/>
          <w:szCs w:val="32"/>
        </w:rPr>
        <w:t>资产评估有限</w:t>
      </w:r>
      <w:r>
        <w:rPr>
          <w:rFonts w:hint="eastAsia" w:ascii="仿宋" w:hAnsi="仿宋" w:eastAsia="仿宋"/>
          <w:sz w:val="32"/>
          <w:szCs w:val="32"/>
        </w:rPr>
        <w:t>（</w:t>
      </w:r>
      <w:r>
        <w:rPr>
          <w:rFonts w:hint="eastAsia" w:ascii="仿宋" w:hAnsi="仿宋" w:eastAsia="仿宋"/>
          <w:spacing w:val="-2"/>
          <w:sz w:val="32"/>
          <w:szCs w:val="32"/>
        </w:rPr>
        <w:t>责任</w:t>
      </w:r>
      <w:r>
        <w:rPr>
          <w:rFonts w:hint="eastAsia" w:ascii="仿宋" w:hAnsi="仿宋" w:eastAsia="仿宋"/>
          <w:sz w:val="32"/>
          <w:szCs w:val="32"/>
        </w:rPr>
        <w:t>）</w:t>
      </w:r>
      <w:r>
        <w:rPr>
          <w:rFonts w:hint="eastAsia" w:ascii="仿宋" w:hAnsi="仿宋" w:eastAsia="仿宋"/>
          <w:spacing w:val="-2"/>
          <w:sz w:val="32"/>
          <w:szCs w:val="32"/>
        </w:rPr>
        <w:t>公司</w:t>
      </w:r>
      <w:r>
        <w:rPr>
          <w:rFonts w:hint="eastAsia" w:ascii="仿宋" w:hAnsi="仿宋" w:eastAsia="仿宋"/>
          <w:spacing w:val="-3"/>
          <w:sz w:val="32"/>
          <w:szCs w:val="32"/>
        </w:rPr>
        <w:t>（</w:t>
      </w:r>
      <w:r>
        <w:rPr>
          <w:rFonts w:ascii="仿宋" w:hAnsi="仿宋" w:eastAsia="仿宋"/>
          <w:spacing w:val="-3"/>
          <w:sz w:val="32"/>
          <w:szCs w:val="32"/>
        </w:rPr>
        <w:t>/</w:t>
      </w:r>
      <w:r>
        <w:rPr>
          <w:rFonts w:hint="eastAsia" w:ascii="仿宋" w:hAnsi="仿宋" w:eastAsia="仿宋"/>
          <w:spacing w:val="-2"/>
          <w:sz w:val="32"/>
          <w:szCs w:val="32"/>
        </w:rPr>
        <w:t>事务所</w:t>
      </w:r>
      <w:r>
        <w:rPr>
          <w:rFonts w:hint="eastAsia" w:ascii="仿宋" w:hAnsi="仿宋" w:eastAsia="仿宋"/>
          <w:sz w:val="32"/>
          <w:szCs w:val="32"/>
        </w:rPr>
        <w:t>）</w:t>
      </w:r>
    </w:p>
    <w:tbl>
      <w:tblPr>
        <w:tblStyle w:val="6"/>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275"/>
        <w:gridCol w:w="284"/>
        <w:gridCol w:w="1134"/>
        <w:gridCol w:w="283"/>
        <w:gridCol w:w="567"/>
        <w:gridCol w:w="1276"/>
        <w:gridCol w:w="992"/>
        <w:gridCol w:w="426"/>
        <w:gridCol w:w="42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9" w:type="dxa"/>
            <w:vAlign w:val="center"/>
          </w:tcPr>
          <w:p>
            <w:pPr>
              <w:pStyle w:val="2"/>
              <w:spacing w:before="3"/>
              <w:ind w:left="0"/>
              <w:jc w:val="center"/>
              <w:rPr>
                <w:sz w:val="28"/>
                <w:szCs w:val="28"/>
              </w:rPr>
            </w:pPr>
            <w:r>
              <w:rPr>
                <w:sz w:val="28"/>
                <w:szCs w:val="28"/>
              </w:rPr>
              <w:t>被推荐人</w:t>
            </w:r>
          </w:p>
        </w:tc>
        <w:tc>
          <w:tcPr>
            <w:tcW w:w="1559" w:type="dxa"/>
            <w:gridSpan w:val="2"/>
            <w:vAlign w:val="center"/>
          </w:tcPr>
          <w:p>
            <w:pPr>
              <w:pStyle w:val="2"/>
              <w:spacing w:before="3"/>
              <w:ind w:left="0"/>
              <w:jc w:val="center"/>
              <w:rPr>
                <w:sz w:val="28"/>
                <w:szCs w:val="28"/>
              </w:rPr>
            </w:pPr>
          </w:p>
        </w:tc>
        <w:tc>
          <w:tcPr>
            <w:tcW w:w="1417" w:type="dxa"/>
            <w:gridSpan w:val="2"/>
            <w:vAlign w:val="center"/>
          </w:tcPr>
          <w:p>
            <w:pPr>
              <w:pStyle w:val="2"/>
              <w:spacing w:before="3"/>
              <w:ind w:left="0"/>
              <w:jc w:val="center"/>
              <w:rPr>
                <w:sz w:val="28"/>
                <w:szCs w:val="28"/>
              </w:rPr>
            </w:pPr>
            <w:r>
              <w:rPr>
                <w:sz w:val="28"/>
                <w:szCs w:val="28"/>
              </w:rPr>
              <w:t>出生年月</w:t>
            </w:r>
          </w:p>
        </w:tc>
        <w:tc>
          <w:tcPr>
            <w:tcW w:w="1843" w:type="dxa"/>
            <w:gridSpan w:val="2"/>
            <w:vAlign w:val="center"/>
          </w:tcPr>
          <w:p>
            <w:pPr>
              <w:pStyle w:val="2"/>
              <w:spacing w:before="3"/>
              <w:ind w:left="0"/>
              <w:jc w:val="center"/>
              <w:rPr>
                <w:sz w:val="28"/>
                <w:szCs w:val="28"/>
              </w:rPr>
            </w:pPr>
          </w:p>
        </w:tc>
        <w:tc>
          <w:tcPr>
            <w:tcW w:w="992" w:type="dxa"/>
            <w:vAlign w:val="center"/>
          </w:tcPr>
          <w:p>
            <w:pPr>
              <w:pStyle w:val="2"/>
              <w:spacing w:before="3"/>
              <w:ind w:left="0"/>
              <w:jc w:val="center"/>
              <w:rPr>
                <w:sz w:val="28"/>
                <w:szCs w:val="28"/>
              </w:rPr>
            </w:pPr>
            <w:r>
              <w:rPr>
                <w:sz w:val="28"/>
                <w:szCs w:val="28"/>
              </w:rPr>
              <w:t>职务</w:t>
            </w:r>
          </w:p>
        </w:tc>
        <w:tc>
          <w:tcPr>
            <w:tcW w:w="2127" w:type="dxa"/>
            <w:gridSpan w:val="3"/>
            <w:vAlign w:val="center"/>
          </w:tcPr>
          <w:p>
            <w:pPr>
              <w:pStyle w:val="2"/>
              <w:spacing w:before="3"/>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9" w:type="dxa"/>
            <w:vAlign w:val="center"/>
          </w:tcPr>
          <w:p>
            <w:pPr>
              <w:pStyle w:val="2"/>
              <w:spacing w:before="3"/>
              <w:ind w:left="0"/>
              <w:jc w:val="center"/>
              <w:rPr>
                <w:sz w:val="28"/>
                <w:szCs w:val="28"/>
              </w:rPr>
            </w:pPr>
            <w:r>
              <w:rPr>
                <w:sz w:val="28"/>
                <w:szCs w:val="28"/>
              </w:rPr>
              <w:t>文化程度</w:t>
            </w:r>
          </w:p>
        </w:tc>
        <w:tc>
          <w:tcPr>
            <w:tcW w:w="1559" w:type="dxa"/>
            <w:gridSpan w:val="2"/>
            <w:vAlign w:val="center"/>
          </w:tcPr>
          <w:p>
            <w:pPr>
              <w:pStyle w:val="2"/>
              <w:spacing w:before="3"/>
              <w:ind w:left="0"/>
              <w:jc w:val="center"/>
              <w:rPr>
                <w:sz w:val="28"/>
                <w:szCs w:val="28"/>
              </w:rPr>
            </w:pPr>
          </w:p>
        </w:tc>
        <w:tc>
          <w:tcPr>
            <w:tcW w:w="1417" w:type="dxa"/>
            <w:gridSpan w:val="2"/>
            <w:vAlign w:val="center"/>
          </w:tcPr>
          <w:p>
            <w:pPr>
              <w:pStyle w:val="2"/>
              <w:spacing w:before="3"/>
              <w:ind w:left="0"/>
              <w:jc w:val="center"/>
              <w:rPr>
                <w:sz w:val="28"/>
                <w:szCs w:val="28"/>
              </w:rPr>
            </w:pPr>
            <w:r>
              <w:rPr>
                <w:sz w:val="28"/>
                <w:szCs w:val="28"/>
              </w:rPr>
              <w:t>职称</w:t>
            </w:r>
          </w:p>
        </w:tc>
        <w:tc>
          <w:tcPr>
            <w:tcW w:w="1843" w:type="dxa"/>
            <w:gridSpan w:val="2"/>
            <w:vAlign w:val="center"/>
          </w:tcPr>
          <w:p>
            <w:pPr>
              <w:pStyle w:val="2"/>
              <w:spacing w:before="3"/>
              <w:ind w:left="0"/>
              <w:jc w:val="center"/>
              <w:rPr>
                <w:sz w:val="28"/>
                <w:szCs w:val="28"/>
              </w:rPr>
            </w:pPr>
          </w:p>
        </w:tc>
        <w:tc>
          <w:tcPr>
            <w:tcW w:w="1418" w:type="dxa"/>
            <w:gridSpan w:val="2"/>
            <w:vAlign w:val="center"/>
          </w:tcPr>
          <w:p>
            <w:pPr>
              <w:pStyle w:val="2"/>
              <w:spacing w:before="3"/>
              <w:ind w:left="0"/>
              <w:jc w:val="center"/>
              <w:rPr>
                <w:sz w:val="28"/>
                <w:szCs w:val="28"/>
              </w:rPr>
            </w:pPr>
            <w:r>
              <w:rPr>
                <w:sz w:val="28"/>
                <w:szCs w:val="28"/>
              </w:rPr>
              <w:t>登记时间</w:t>
            </w:r>
          </w:p>
        </w:tc>
        <w:tc>
          <w:tcPr>
            <w:tcW w:w="1701" w:type="dxa"/>
            <w:gridSpan w:val="2"/>
            <w:vAlign w:val="center"/>
          </w:tcPr>
          <w:p>
            <w:pPr>
              <w:pStyle w:val="2"/>
              <w:spacing w:before="3"/>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9" w:type="dxa"/>
            <w:vAlign w:val="center"/>
          </w:tcPr>
          <w:p>
            <w:pPr>
              <w:pStyle w:val="2"/>
              <w:spacing w:before="3"/>
              <w:ind w:left="0"/>
              <w:jc w:val="center"/>
              <w:rPr>
                <w:sz w:val="28"/>
                <w:szCs w:val="28"/>
              </w:rPr>
            </w:pPr>
            <w:r>
              <w:rPr>
                <w:sz w:val="28"/>
                <w:szCs w:val="28"/>
              </w:rPr>
              <w:t>专职评估工作年限</w:t>
            </w:r>
          </w:p>
        </w:tc>
        <w:tc>
          <w:tcPr>
            <w:tcW w:w="1559" w:type="dxa"/>
            <w:gridSpan w:val="2"/>
            <w:vAlign w:val="center"/>
          </w:tcPr>
          <w:p>
            <w:pPr>
              <w:pStyle w:val="2"/>
              <w:spacing w:before="3"/>
              <w:ind w:left="0"/>
              <w:jc w:val="center"/>
              <w:rPr>
                <w:sz w:val="28"/>
                <w:szCs w:val="28"/>
              </w:rPr>
            </w:pPr>
          </w:p>
        </w:tc>
        <w:tc>
          <w:tcPr>
            <w:tcW w:w="1984" w:type="dxa"/>
            <w:gridSpan w:val="3"/>
            <w:vAlign w:val="center"/>
          </w:tcPr>
          <w:p>
            <w:pPr>
              <w:pStyle w:val="2"/>
              <w:spacing w:before="3"/>
              <w:ind w:left="0"/>
              <w:jc w:val="center"/>
              <w:rPr>
                <w:sz w:val="28"/>
                <w:szCs w:val="28"/>
              </w:rPr>
            </w:pPr>
            <w:r>
              <w:rPr>
                <w:sz w:val="28"/>
                <w:szCs w:val="28"/>
              </w:rPr>
              <w:t>近三年有无处罚或惩戒记录</w:t>
            </w:r>
          </w:p>
        </w:tc>
        <w:tc>
          <w:tcPr>
            <w:tcW w:w="1276" w:type="dxa"/>
            <w:vAlign w:val="center"/>
          </w:tcPr>
          <w:p>
            <w:pPr>
              <w:pStyle w:val="2"/>
              <w:spacing w:before="3"/>
              <w:ind w:left="0"/>
              <w:jc w:val="center"/>
              <w:rPr>
                <w:sz w:val="28"/>
                <w:szCs w:val="28"/>
              </w:rPr>
            </w:pPr>
          </w:p>
        </w:tc>
        <w:tc>
          <w:tcPr>
            <w:tcW w:w="1418" w:type="dxa"/>
            <w:gridSpan w:val="2"/>
            <w:vAlign w:val="center"/>
          </w:tcPr>
          <w:p>
            <w:pPr>
              <w:pStyle w:val="2"/>
              <w:spacing w:before="3"/>
              <w:ind w:left="0"/>
              <w:jc w:val="center"/>
              <w:rPr>
                <w:sz w:val="28"/>
                <w:szCs w:val="28"/>
              </w:rPr>
            </w:pPr>
            <w:r>
              <w:rPr>
                <w:sz w:val="28"/>
                <w:szCs w:val="28"/>
              </w:rPr>
              <w:t>是否参加历次检查</w:t>
            </w:r>
          </w:p>
        </w:tc>
        <w:tc>
          <w:tcPr>
            <w:tcW w:w="1701" w:type="dxa"/>
            <w:gridSpan w:val="2"/>
            <w:vAlign w:val="center"/>
          </w:tcPr>
          <w:p>
            <w:pPr>
              <w:pStyle w:val="2"/>
              <w:spacing w:before="3"/>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19" w:type="dxa"/>
            <w:vAlign w:val="center"/>
          </w:tcPr>
          <w:p>
            <w:pPr>
              <w:pStyle w:val="2"/>
              <w:spacing w:before="3"/>
              <w:ind w:left="0"/>
              <w:jc w:val="center"/>
              <w:rPr>
                <w:sz w:val="28"/>
                <w:szCs w:val="28"/>
              </w:rPr>
            </w:pPr>
            <w:r>
              <w:rPr>
                <w:sz w:val="28"/>
                <w:szCs w:val="28"/>
              </w:rPr>
              <w:t>其他资格取得情况</w:t>
            </w:r>
          </w:p>
        </w:tc>
        <w:tc>
          <w:tcPr>
            <w:tcW w:w="1559" w:type="dxa"/>
            <w:gridSpan w:val="2"/>
            <w:vAlign w:val="center"/>
          </w:tcPr>
          <w:p>
            <w:pPr>
              <w:pStyle w:val="2"/>
              <w:spacing w:before="3"/>
              <w:ind w:left="0"/>
              <w:jc w:val="center"/>
              <w:rPr>
                <w:sz w:val="28"/>
                <w:szCs w:val="28"/>
              </w:rPr>
            </w:pPr>
          </w:p>
        </w:tc>
        <w:tc>
          <w:tcPr>
            <w:tcW w:w="1984" w:type="dxa"/>
            <w:gridSpan w:val="3"/>
            <w:vAlign w:val="center"/>
          </w:tcPr>
          <w:p>
            <w:pPr>
              <w:pStyle w:val="2"/>
              <w:spacing w:before="3"/>
              <w:ind w:left="0"/>
              <w:jc w:val="center"/>
              <w:rPr>
                <w:sz w:val="28"/>
                <w:szCs w:val="28"/>
              </w:rPr>
            </w:pPr>
            <w:r>
              <w:rPr>
                <w:sz w:val="28"/>
                <w:szCs w:val="28"/>
              </w:rPr>
              <w:t>外语水平</w:t>
            </w:r>
          </w:p>
        </w:tc>
        <w:tc>
          <w:tcPr>
            <w:tcW w:w="1276" w:type="dxa"/>
            <w:vAlign w:val="center"/>
          </w:tcPr>
          <w:p>
            <w:pPr>
              <w:pStyle w:val="2"/>
              <w:spacing w:before="3"/>
              <w:ind w:left="0"/>
              <w:jc w:val="center"/>
              <w:rPr>
                <w:sz w:val="28"/>
                <w:szCs w:val="28"/>
              </w:rPr>
            </w:pPr>
          </w:p>
        </w:tc>
        <w:tc>
          <w:tcPr>
            <w:tcW w:w="1418" w:type="dxa"/>
            <w:gridSpan w:val="2"/>
            <w:vAlign w:val="center"/>
          </w:tcPr>
          <w:p>
            <w:pPr>
              <w:pStyle w:val="2"/>
              <w:spacing w:before="3"/>
              <w:ind w:left="0"/>
              <w:jc w:val="center"/>
              <w:rPr>
                <w:sz w:val="28"/>
                <w:szCs w:val="28"/>
              </w:rPr>
            </w:pPr>
            <w:r>
              <w:rPr>
                <w:sz w:val="28"/>
                <w:szCs w:val="28"/>
              </w:rPr>
              <w:t>能否操作电脑</w:t>
            </w:r>
          </w:p>
        </w:tc>
        <w:tc>
          <w:tcPr>
            <w:tcW w:w="1701" w:type="dxa"/>
            <w:gridSpan w:val="2"/>
            <w:vAlign w:val="center"/>
          </w:tcPr>
          <w:p>
            <w:pPr>
              <w:pStyle w:val="2"/>
              <w:spacing w:before="3"/>
              <w:ind w:left="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11"/>
          </w:tcPr>
          <w:p>
            <w:pPr>
              <w:pStyle w:val="2"/>
              <w:spacing w:before="3"/>
              <w:ind w:left="0"/>
              <w:rPr>
                <w:sz w:val="28"/>
                <w:szCs w:val="28"/>
              </w:rPr>
            </w:pPr>
            <w:r>
              <w:rPr>
                <w:sz w:val="28"/>
                <w:szCs w:val="28"/>
              </w:rPr>
              <w:t>工作能力和专业水平：</w:t>
            </w:r>
          </w:p>
          <w:p>
            <w:pPr>
              <w:pStyle w:val="2"/>
              <w:spacing w:before="3"/>
              <w:ind w:left="0"/>
              <w:rPr>
                <w:sz w:val="28"/>
                <w:szCs w:val="28"/>
              </w:rPr>
            </w:pPr>
          </w:p>
          <w:p>
            <w:pPr>
              <w:pStyle w:val="2"/>
              <w:spacing w:before="3"/>
              <w:ind w:left="0"/>
              <w:rPr>
                <w:sz w:val="28"/>
                <w:szCs w:val="28"/>
              </w:rPr>
            </w:pPr>
          </w:p>
          <w:p>
            <w:pPr>
              <w:pStyle w:val="2"/>
              <w:spacing w:before="3"/>
              <w:ind w:left="0"/>
              <w:rPr>
                <w:sz w:val="28"/>
                <w:szCs w:val="28"/>
              </w:rPr>
            </w:pPr>
          </w:p>
          <w:p>
            <w:pPr>
              <w:pStyle w:val="2"/>
              <w:spacing w:before="3"/>
              <w:ind w:left="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694" w:type="dxa"/>
            <w:gridSpan w:val="2"/>
          </w:tcPr>
          <w:p>
            <w:pPr>
              <w:pStyle w:val="2"/>
              <w:spacing w:before="3"/>
              <w:ind w:left="0"/>
              <w:rPr>
                <w:sz w:val="28"/>
                <w:szCs w:val="28"/>
              </w:rPr>
            </w:pPr>
            <w:r>
              <w:rPr>
                <w:sz w:val="28"/>
                <w:szCs w:val="28"/>
              </w:rPr>
              <w:t>本人自荐（“</w:t>
            </w:r>
            <w:r>
              <w:rPr>
                <w:spacing w:val="-43"/>
                <w:sz w:val="28"/>
                <w:szCs w:val="28"/>
              </w:rPr>
              <w:t>√</w:t>
            </w:r>
            <w:r>
              <w:rPr>
                <w:sz w:val="28"/>
                <w:szCs w:val="28"/>
              </w:rPr>
              <w:t>”）</w:t>
            </w:r>
          </w:p>
        </w:tc>
        <w:tc>
          <w:tcPr>
            <w:tcW w:w="1418" w:type="dxa"/>
            <w:gridSpan w:val="2"/>
          </w:tcPr>
          <w:p>
            <w:pPr>
              <w:pStyle w:val="2"/>
              <w:spacing w:before="3"/>
              <w:ind w:left="0"/>
              <w:rPr>
                <w:sz w:val="28"/>
                <w:szCs w:val="28"/>
              </w:rPr>
            </w:pPr>
          </w:p>
        </w:tc>
        <w:tc>
          <w:tcPr>
            <w:tcW w:w="3969" w:type="dxa"/>
            <w:gridSpan w:val="6"/>
          </w:tcPr>
          <w:p>
            <w:pPr>
              <w:pStyle w:val="2"/>
              <w:spacing w:before="3"/>
              <w:ind w:left="0"/>
              <w:rPr>
                <w:sz w:val="28"/>
                <w:szCs w:val="28"/>
              </w:rPr>
            </w:pPr>
            <w:r>
              <w:rPr>
                <w:sz w:val="28"/>
                <w:szCs w:val="28"/>
              </w:rPr>
              <w:t>公司（事务所）推荐（</w:t>
            </w:r>
            <w:r>
              <w:rPr>
                <w:spacing w:val="-40"/>
                <w:sz w:val="28"/>
                <w:szCs w:val="28"/>
              </w:rPr>
              <w:t>“√”</w:t>
            </w:r>
            <w:r>
              <w:rPr>
                <w:sz w:val="28"/>
                <w:szCs w:val="28"/>
              </w:rPr>
              <w:t>）</w:t>
            </w:r>
          </w:p>
        </w:tc>
        <w:tc>
          <w:tcPr>
            <w:tcW w:w="1276" w:type="dxa"/>
          </w:tcPr>
          <w:p>
            <w:pPr>
              <w:pStyle w:val="2"/>
              <w:spacing w:before="3"/>
              <w:ind w:left="0"/>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11"/>
          </w:tcPr>
          <w:p>
            <w:pPr>
              <w:pStyle w:val="2"/>
              <w:spacing w:before="3"/>
              <w:ind w:left="0"/>
              <w:rPr>
                <w:sz w:val="28"/>
                <w:szCs w:val="28"/>
              </w:rPr>
            </w:pPr>
          </w:p>
          <w:p>
            <w:pPr>
              <w:pStyle w:val="2"/>
              <w:spacing w:before="3"/>
              <w:ind w:left="0"/>
              <w:rPr>
                <w:sz w:val="28"/>
                <w:szCs w:val="28"/>
              </w:rPr>
            </w:pPr>
            <w:r>
              <w:rPr>
                <w:sz w:val="28"/>
                <w:szCs w:val="28"/>
              </w:rPr>
              <w:t>首席（总）评估师签章：</w:t>
            </w:r>
            <w:r>
              <w:rPr>
                <w:rFonts w:hint="eastAsia"/>
                <w:sz w:val="28"/>
                <w:szCs w:val="28"/>
              </w:rPr>
              <w:t xml:space="preserve"> </w:t>
            </w:r>
            <w:r>
              <w:rPr>
                <w:sz w:val="28"/>
                <w:szCs w:val="28"/>
              </w:rPr>
              <w:t xml:space="preserve">          所在公司（事务所）签章：</w:t>
            </w:r>
          </w:p>
          <w:p>
            <w:pPr>
              <w:pStyle w:val="2"/>
              <w:spacing w:before="3"/>
              <w:ind w:left="0"/>
              <w:rPr>
                <w:sz w:val="28"/>
                <w:szCs w:val="28"/>
              </w:rPr>
            </w:pPr>
          </w:p>
          <w:p>
            <w:pPr>
              <w:pStyle w:val="2"/>
              <w:spacing w:before="3"/>
              <w:ind w:left="0" w:right="1120"/>
              <w:jc w:val="right"/>
              <w:rPr>
                <w:sz w:val="28"/>
                <w:szCs w:val="28"/>
              </w:rPr>
            </w:pPr>
            <w:r>
              <w:rPr>
                <w:sz w:val="28"/>
                <w:szCs w:val="28"/>
              </w:rPr>
              <w:t>年</w:t>
            </w:r>
            <w:r>
              <w:rPr>
                <w:sz w:val="28"/>
                <w:szCs w:val="28"/>
              </w:rPr>
              <w:tab/>
            </w:r>
            <w:r>
              <w:rPr>
                <w:sz w:val="28"/>
                <w:szCs w:val="28"/>
              </w:rPr>
              <w:t xml:space="preserve">    月</w:t>
            </w:r>
            <w:r>
              <w:rPr>
                <w:rFonts w:hint="eastAsia"/>
                <w:sz w:val="28"/>
                <w:szCs w:val="28"/>
              </w:rPr>
              <w:t xml:space="preserve"> </w:t>
            </w:r>
            <w:r>
              <w:rPr>
                <w:sz w:val="28"/>
                <w:szCs w:val="28"/>
              </w:rPr>
              <w:t xml:space="preserve"> </w:t>
            </w:r>
            <w:r>
              <w:rPr>
                <w:sz w:val="28"/>
                <w:szCs w:val="28"/>
              </w:rPr>
              <w:tab/>
            </w:r>
            <w:r>
              <w:rPr>
                <w:sz w:val="28"/>
                <w:szCs w:val="28"/>
              </w:rPr>
              <w:t xml:space="preserve">  日</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vAlign w:val="center"/>
          </w:tcPr>
          <w:p>
            <w:pPr>
              <w:pStyle w:val="2"/>
              <w:spacing w:before="3"/>
              <w:ind w:left="0"/>
              <w:jc w:val="center"/>
              <w:rPr>
                <w:sz w:val="28"/>
                <w:szCs w:val="28"/>
              </w:rPr>
            </w:pPr>
            <w:r>
              <w:rPr>
                <w:sz w:val="28"/>
                <w:szCs w:val="28"/>
              </w:rPr>
              <w:t>被推荐人意见</w:t>
            </w:r>
          </w:p>
          <w:p>
            <w:pPr>
              <w:pStyle w:val="2"/>
              <w:spacing w:before="3"/>
              <w:ind w:left="0"/>
              <w:jc w:val="center"/>
              <w:rPr>
                <w:sz w:val="28"/>
                <w:szCs w:val="28"/>
              </w:rPr>
            </w:pPr>
            <w:r>
              <w:rPr>
                <w:sz w:val="28"/>
                <w:szCs w:val="28"/>
              </w:rPr>
              <w:t>（及签名）</w:t>
            </w:r>
          </w:p>
        </w:tc>
        <w:tc>
          <w:tcPr>
            <w:tcW w:w="6663" w:type="dxa"/>
            <w:gridSpan w:val="9"/>
          </w:tcPr>
          <w:p>
            <w:pPr>
              <w:pStyle w:val="2"/>
              <w:wordWrap w:val="0"/>
              <w:spacing w:before="3"/>
              <w:ind w:left="0"/>
              <w:jc w:val="right"/>
              <w:rPr>
                <w:sz w:val="28"/>
                <w:szCs w:val="28"/>
              </w:rPr>
            </w:pPr>
          </w:p>
          <w:p>
            <w:pPr>
              <w:pStyle w:val="2"/>
              <w:spacing w:before="3"/>
              <w:ind w:left="0"/>
              <w:rPr>
                <w:sz w:val="28"/>
                <w:szCs w:val="28"/>
              </w:rPr>
            </w:pP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p>
            <w:pPr>
              <w:pStyle w:val="2"/>
              <w:spacing w:before="3"/>
              <w:ind w:left="0"/>
              <w:rPr>
                <w:sz w:val="28"/>
                <w:szCs w:val="28"/>
              </w:rPr>
            </w:pPr>
          </w:p>
          <w:p>
            <w:pPr>
              <w:pStyle w:val="2"/>
              <w:spacing w:before="3"/>
              <w:ind w:left="0"/>
              <w:rPr>
                <w:sz w:val="28"/>
                <w:szCs w:val="28"/>
              </w:rPr>
            </w:pPr>
            <w:r>
              <w:rPr>
                <w:sz w:val="28"/>
                <w:szCs w:val="28"/>
              </w:rPr>
              <w:t xml:space="preserve">                      年</w:t>
            </w:r>
            <w:r>
              <w:rPr>
                <w:sz w:val="28"/>
                <w:szCs w:val="28"/>
              </w:rPr>
              <w:tab/>
            </w:r>
            <w:r>
              <w:rPr>
                <w:sz w:val="28"/>
                <w:szCs w:val="28"/>
              </w:rPr>
              <w:t xml:space="preserve">  月</w:t>
            </w:r>
            <w:r>
              <w:rPr>
                <w:rFonts w:hint="eastAsia"/>
                <w:sz w:val="28"/>
                <w:szCs w:val="28"/>
              </w:rPr>
              <w:t xml:space="preserve"> </w:t>
            </w:r>
            <w:r>
              <w:rPr>
                <w:sz w:val="28"/>
                <w:szCs w:val="28"/>
              </w:rPr>
              <w:t xml:space="preserve"> </w:t>
            </w:r>
            <w:r>
              <w:rPr>
                <w:sz w:val="28"/>
                <w:szCs w:val="28"/>
              </w:rPr>
              <w:tab/>
            </w:r>
            <w:r>
              <w:rPr>
                <w:sz w:val="28"/>
                <w:szCs w:val="28"/>
              </w:rPr>
              <w:t>日</w:t>
            </w:r>
            <w:r>
              <w:rPr>
                <w:rFonts w:hint="eastAsia"/>
                <w:sz w:val="28"/>
                <w:szCs w:val="28"/>
              </w:rPr>
              <w:t xml:space="preserve"> </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gridSpan w:val="2"/>
            <w:vAlign w:val="center"/>
          </w:tcPr>
          <w:p>
            <w:pPr>
              <w:pStyle w:val="2"/>
              <w:spacing w:before="3"/>
              <w:ind w:left="0"/>
              <w:jc w:val="center"/>
              <w:rPr>
                <w:sz w:val="28"/>
                <w:szCs w:val="28"/>
              </w:rPr>
            </w:pPr>
            <w:r>
              <w:rPr>
                <w:sz w:val="28"/>
                <w:szCs w:val="28"/>
              </w:rPr>
              <w:t>评估协会意见</w:t>
            </w:r>
          </w:p>
        </w:tc>
        <w:tc>
          <w:tcPr>
            <w:tcW w:w="6663" w:type="dxa"/>
            <w:gridSpan w:val="9"/>
          </w:tcPr>
          <w:p>
            <w:pPr>
              <w:pStyle w:val="2"/>
              <w:wordWrap w:val="0"/>
              <w:spacing w:before="3"/>
              <w:ind w:left="0"/>
              <w:jc w:val="right"/>
              <w:rPr>
                <w:sz w:val="28"/>
                <w:szCs w:val="28"/>
              </w:rPr>
            </w:pPr>
          </w:p>
          <w:p>
            <w:pPr>
              <w:pStyle w:val="2"/>
              <w:wordWrap w:val="0"/>
              <w:spacing w:before="3"/>
              <w:ind w:left="0" w:right="560"/>
              <w:jc w:val="right"/>
              <w:rPr>
                <w:sz w:val="28"/>
                <w:szCs w:val="28"/>
              </w:rPr>
            </w:pPr>
            <w:r>
              <w:rPr>
                <w:sz w:val="28"/>
                <w:szCs w:val="28"/>
              </w:rPr>
              <w:t>上海市资产评估协会</w:t>
            </w:r>
            <w:r>
              <w:rPr>
                <w:rFonts w:hint="eastAsia"/>
                <w:sz w:val="28"/>
                <w:szCs w:val="28"/>
              </w:rPr>
              <w:t xml:space="preserve"> </w:t>
            </w:r>
            <w:r>
              <w:rPr>
                <w:sz w:val="28"/>
                <w:szCs w:val="28"/>
              </w:rPr>
              <w:t xml:space="preserve"> </w:t>
            </w:r>
          </w:p>
          <w:p>
            <w:pPr>
              <w:pStyle w:val="2"/>
              <w:wordWrap w:val="0"/>
              <w:spacing w:before="3"/>
              <w:ind w:left="0" w:right="560"/>
              <w:jc w:val="right"/>
              <w:rPr>
                <w:sz w:val="28"/>
                <w:szCs w:val="28"/>
              </w:rPr>
            </w:pPr>
            <w:r>
              <w:rPr>
                <w:rFonts w:hint="eastAsia"/>
                <w:sz w:val="28"/>
                <w:szCs w:val="28"/>
              </w:rPr>
              <w:t xml:space="preserve">（签章） </w:t>
            </w:r>
            <w:r>
              <w:rPr>
                <w:sz w:val="28"/>
                <w:szCs w:val="28"/>
              </w:rPr>
              <w:t xml:space="preserve">      </w:t>
            </w:r>
          </w:p>
          <w:p>
            <w:pPr>
              <w:pStyle w:val="2"/>
              <w:spacing w:before="3"/>
              <w:ind w:left="0"/>
              <w:jc w:val="right"/>
              <w:rPr>
                <w:sz w:val="28"/>
                <w:szCs w:val="28"/>
              </w:rPr>
            </w:pPr>
          </w:p>
          <w:p>
            <w:pPr>
              <w:pStyle w:val="2"/>
              <w:spacing w:before="3"/>
              <w:ind w:left="0"/>
              <w:rPr>
                <w:sz w:val="28"/>
                <w:szCs w:val="28"/>
              </w:rPr>
            </w:pPr>
            <w:r>
              <w:rPr>
                <w:rFonts w:hint="eastAsia"/>
                <w:sz w:val="28"/>
                <w:szCs w:val="28"/>
              </w:rPr>
              <w:t xml:space="preserve"> </w:t>
            </w:r>
            <w:r>
              <w:rPr>
                <w:sz w:val="28"/>
                <w:szCs w:val="28"/>
              </w:rPr>
              <w:t xml:space="preserve">                     年</w:t>
            </w:r>
            <w:r>
              <w:rPr>
                <w:sz w:val="28"/>
                <w:szCs w:val="28"/>
              </w:rPr>
              <w:tab/>
            </w:r>
            <w:r>
              <w:rPr>
                <w:sz w:val="28"/>
                <w:szCs w:val="28"/>
              </w:rPr>
              <w:t xml:space="preserve">  月</w:t>
            </w:r>
            <w:r>
              <w:rPr>
                <w:rFonts w:hint="eastAsia"/>
                <w:sz w:val="28"/>
                <w:szCs w:val="28"/>
              </w:rPr>
              <w:t xml:space="preserve"> </w:t>
            </w:r>
            <w:r>
              <w:rPr>
                <w:sz w:val="28"/>
                <w:szCs w:val="28"/>
              </w:rPr>
              <w:t xml:space="preserve"> </w:t>
            </w:r>
            <w:r>
              <w:rPr>
                <w:sz w:val="28"/>
                <w:szCs w:val="28"/>
              </w:rPr>
              <w:tab/>
            </w:r>
            <w:r>
              <w:rPr>
                <w:sz w:val="28"/>
                <w:szCs w:val="28"/>
              </w:rPr>
              <w:t>日</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tc>
      </w:tr>
    </w:tbl>
    <w:p>
      <w:pPr>
        <w:pStyle w:val="2"/>
        <w:spacing w:before="3"/>
        <w:ind w:left="0"/>
        <w:rPr>
          <w:sz w:val="32"/>
          <w:szCs w:val="32"/>
        </w:rPr>
      </w:pPr>
    </w:p>
    <w:p>
      <w:pPr>
        <w:rPr>
          <w:sz w:val="32"/>
          <w:szCs w:val="32"/>
        </w:rPr>
      </w:pPr>
    </w:p>
    <w:p>
      <w:pPr>
        <w:widowControl/>
        <w:jc w:val="left"/>
        <w:rPr>
          <w:rFonts w:ascii="仿宋" w:hAnsi="仿宋" w:eastAsia="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jAwMDFjZTY4NzcxOGY0ZWRhYjcyNmJiY2UzNTAifQ=="/>
  </w:docVars>
  <w:rsids>
    <w:rsidRoot w:val="00680974"/>
    <w:rsid w:val="0008382E"/>
    <w:rsid w:val="000D0280"/>
    <w:rsid w:val="000D0C9E"/>
    <w:rsid w:val="00156134"/>
    <w:rsid w:val="00181A61"/>
    <w:rsid w:val="00182256"/>
    <w:rsid w:val="001C06CD"/>
    <w:rsid w:val="00327B5B"/>
    <w:rsid w:val="003353B6"/>
    <w:rsid w:val="0046338C"/>
    <w:rsid w:val="00472A71"/>
    <w:rsid w:val="004B30B1"/>
    <w:rsid w:val="005231BE"/>
    <w:rsid w:val="0059044A"/>
    <w:rsid w:val="0060139A"/>
    <w:rsid w:val="00604224"/>
    <w:rsid w:val="00656F36"/>
    <w:rsid w:val="00680974"/>
    <w:rsid w:val="006840A7"/>
    <w:rsid w:val="00697D7F"/>
    <w:rsid w:val="006A0709"/>
    <w:rsid w:val="00716375"/>
    <w:rsid w:val="0086214D"/>
    <w:rsid w:val="00884D0A"/>
    <w:rsid w:val="008967C1"/>
    <w:rsid w:val="008F74F2"/>
    <w:rsid w:val="00A345E9"/>
    <w:rsid w:val="00AD32B6"/>
    <w:rsid w:val="00B40724"/>
    <w:rsid w:val="00B5447D"/>
    <w:rsid w:val="00B850FC"/>
    <w:rsid w:val="00C44E02"/>
    <w:rsid w:val="00CA6494"/>
    <w:rsid w:val="00DD08B2"/>
    <w:rsid w:val="00E53B77"/>
    <w:rsid w:val="00E6178A"/>
    <w:rsid w:val="00E86940"/>
    <w:rsid w:val="00F2059A"/>
    <w:rsid w:val="00FA6BFB"/>
    <w:rsid w:val="00FC53EF"/>
    <w:rsid w:val="00FF602C"/>
    <w:rsid w:val="061162D7"/>
    <w:rsid w:val="06515B0B"/>
    <w:rsid w:val="0B3D71BF"/>
    <w:rsid w:val="0D847672"/>
    <w:rsid w:val="0E3966AF"/>
    <w:rsid w:val="0EB102D4"/>
    <w:rsid w:val="0F355629"/>
    <w:rsid w:val="0F8971C2"/>
    <w:rsid w:val="11F17F97"/>
    <w:rsid w:val="19C9339C"/>
    <w:rsid w:val="1B3B579D"/>
    <w:rsid w:val="23ED5670"/>
    <w:rsid w:val="276A2E75"/>
    <w:rsid w:val="28F72F97"/>
    <w:rsid w:val="30073ABF"/>
    <w:rsid w:val="33E16527"/>
    <w:rsid w:val="36121410"/>
    <w:rsid w:val="387B4572"/>
    <w:rsid w:val="3B6B118C"/>
    <w:rsid w:val="3DB00B58"/>
    <w:rsid w:val="3E4847D1"/>
    <w:rsid w:val="3FDD0B6F"/>
    <w:rsid w:val="40BE641C"/>
    <w:rsid w:val="45C60733"/>
    <w:rsid w:val="45E41533"/>
    <w:rsid w:val="4BB2438A"/>
    <w:rsid w:val="4C6B54E2"/>
    <w:rsid w:val="4F0C2A48"/>
    <w:rsid w:val="51634ED4"/>
    <w:rsid w:val="5511700B"/>
    <w:rsid w:val="55F1038C"/>
    <w:rsid w:val="5BF56EA4"/>
    <w:rsid w:val="5C8E651C"/>
    <w:rsid w:val="5CB47FE3"/>
    <w:rsid w:val="5E9B19E6"/>
    <w:rsid w:val="62DD2A29"/>
    <w:rsid w:val="648275DD"/>
    <w:rsid w:val="64FF0C2E"/>
    <w:rsid w:val="65B46876"/>
    <w:rsid w:val="68013259"/>
    <w:rsid w:val="688B06FA"/>
    <w:rsid w:val="69E166AA"/>
    <w:rsid w:val="6A125A71"/>
    <w:rsid w:val="6B333F0C"/>
    <w:rsid w:val="71175576"/>
    <w:rsid w:val="757D22EB"/>
    <w:rsid w:val="7E867872"/>
    <w:rsid w:val="7ED7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ind w:left="740"/>
      <w:jc w:val="left"/>
    </w:pPr>
    <w:rPr>
      <w:rFonts w:ascii="仿宋" w:hAnsi="仿宋" w:eastAsia="仿宋" w:cs="仿宋"/>
      <w:kern w:val="0"/>
      <w:sz w:val="30"/>
      <w:szCs w:val="30"/>
      <w:lang w:val="zh-CN" w:bidi="zh-C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Char"/>
    <w:basedOn w:val="7"/>
    <w:link w:val="2"/>
    <w:qFormat/>
    <w:uiPriority w:val="1"/>
    <w:rPr>
      <w:rFonts w:ascii="仿宋" w:hAnsi="仿宋" w:eastAsia="仿宋" w:cs="仿宋"/>
      <w:kern w:val="0"/>
      <w:sz w:val="30"/>
      <w:szCs w:val="30"/>
      <w:lang w:val="zh-CN" w:bidi="zh-CN"/>
    </w:rPr>
  </w:style>
  <w:style w:type="paragraph" w:customStyle="1" w:styleId="11">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413</Words>
  <Characters>2357</Characters>
  <Lines>19</Lines>
  <Paragraphs>5</Paragraphs>
  <TotalTime>3</TotalTime>
  <ScaleCrop>false</ScaleCrop>
  <LinksUpToDate>false</LinksUpToDate>
  <CharactersWithSpaces>2765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2023-04-26T06:18:00Z</dcterms:created>
  <dc:creator>Lenovo</dc:creator>
  <cp:lastModifiedBy>admin</cp:lastModifiedBy>
  <cp:lastPrinted>2023-12-01T02:45:00Z</cp:lastPrinted>
  <dcterms:modified xsi:type="dcterms:W3CDTF">2023-12-06T09:11:27Z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13ACA1D93E4B4D4393F1C1B50C98FB2B</vt:lpwstr>
  </property>
</Properties>
</file>