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F0EFF" w14:textId="5296D9A7" w:rsidR="00AF423F" w:rsidRPr="000D03B4" w:rsidRDefault="00F02BB1" w:rsidP="00A745DB">
      <w:pPr>
        <w:snapToGrid w:val="0"/>
        <w:rPr>
          <w:rFonts w:eastAsia="黑体"/>
          <w:sz w:val="32"/>
          <w:szCs w:val="32"/>
        </w:rPr>
      </w:pPr>
      <w:r w:rsidRPr="000D03B4">
        <w:rPr>
          <w:rFonts w:eastAsia="黑体"/>
          <w:sz w:val="32"/>
          <w:szCs w:val="32"/>
        </w:rPr>
        <w:t>附件</w:t>
      </w:r>
    </w:p>
    <w:p w14:paraId="0CFF2C53" w14:textId="77777777" w:rsidR="00AF423F" w:rsidRPr="000D03B4" w:rsidRDefault="00AF423F" w:rsidP="00A745DB">
      <w:pPr>
        <w:snapToGrid w:val="0"/>
        <w:jc w:val="center"/>
        <w:rPr>
          <w:rFonts w:eastAsia="黑体"/>
          <w:sz w:val="52"/>
          <w:szCs w:val="52"/>
        </w:rPr>
      </w:pPr>
    </w:p>
    <w:p w14:paraId="34541DFB" w14:textId="77777777" w:rsidR="00AF423F" w:rsidRPr="000D03B4" w:rsidRDefault="00AF423F" w:rsidP="00A745DB">
      <w:pPr>
        <w:snapToGrid w:val="0"/>
        <w:jc w:val="center"/>
        <w:rPr>
          <w:rFonts w:eastAsia="黑体"/>
          <w:sz w:val="52"/>
          <w:szCs w:val="52"/>
        </w:rPr>
      </w:pPr>
    </w:p>
    <w:p w14:paraId="7A4C3FD5" w14:textId="77777777" w:rsidR="00712330" w:rsidRPr="000D03B4" w:rsidRDefault="00712330" w:rsidP="00A745DB">
      <w:pPr>
        <w:snapToGrid w:val="0"/>
        <w:jc w:val="center"/>
        <w:rPr>
          <w:rFonts w:eastAsia="黑体"/>
          <w:sz w:val="52"/>
          <w:szCs w:val="52"/>
        </w:rPr>
      </w:pPr>
    </w:p>
    <w:p w14:paraId="5A39CB5C" w14:textId="77777777" w:rsidR="00712330" w:rsidRPr="000D03B4" w:rsidRDefault="00712330" w:rsidP="00A745DB">
      <w:pPr>
        <w:snapToGrid w:val="0"/>
        <w:jc w:val="center"/>
        <w:rPr>
          <w:rFonts w:eastAsia="黑体"/>
          <w:sz w:val="52"/>
          <w:szCs w:val="52"/>
        </w:rPr>
      </w:pPr>
    </w:p>
    <w:p w14:paraId="132EC28D" w14:textId="77777777" w:rsidR="006A72E2" w:rsidRPr="000D03B4" w:rsidRDefault="00AF423F" w:rsidP="0023323E">
      <w:pPr>
        <w:snapToGrid w:val="0"/>
        <w:jc w:val="center"/>
        <w:rPr>
          <w:rFonts w:eastAsia="黑体"/>
          <w:sz w:val="44"/>
          <w:szCs w:val="44"/>
        </w:rPr>
      </w:pPr>
      <w:r w:rsidRPr="000D03B4">
        <w:rPr>
          <w:rFonts w:eastAsia="黑体"/>
          <w:sz w:val="44"/>
          <w:szCs w:val="44"/>
        </w:rPr>
        <w:t>资产评估行业市场开拓路线指引</w:t>
      </w:r>
    </w:p>
    <w:p w14:paraId="1A0EF802" w14:textId="03EA505A" w:rsidR="00AF423F" w:rsidRPr="000D03B4" w:rsidRDefault="00AF423F" w:rsidP="0023323E">
      <w:pPr>
        <w:snapToGrid w:val="0"/>
        <w:jc w:val="center"/>
        <w:rPr>
          <w:rFonts w:eastAsia="黑体"/>
          <w:b/>
          <w:sz w:val="44"/>
          <w:szCs w:val="44"/>
        </w:rPr>
      </w:pPr>
      <w:r w:rsidRPr="000D03B4">
        <w:rPr>
          <w:rFonts w:eastAsia="黑体"/>
          <w:sz w:val="44"/>
          <w:szCs w:val="44"/>
        </w:rPr>
        <w:t>（</w:t>
      </w:r>
      <w:r w:rsidRPr="000D03B4">
        <w:rPr>
          <w:rFonts w:eastAsia="黑体"/>
          <w:sz w:val="44"/>
          <w:szCs w:val="44"/>
        </w:rPr>
        <w:t>2019</w:t>
      </w:r>
      <w:r w:rsidR="00091176" w:rsidRPr="000D03B4">
        <w:rPr>
          <w:rFonts w:eastAsia="黑体"/>
          <w:sz w:val="44"/>
          <w:szCs w:val="44"/>
        </w:rPr>
        <w:t>年</w:t>
      </w:r>
      <w:r w:rsidRPr="000D03B4">
        <w:rPr>
          <w:rFonts w:eastAsia="黑体"/>
          <w:sz w:val="44"/>
          <w:szCs w:val="44"/>
        </w:rPr>
        <w:t>）</w:t>
      </w:r>
    </w:p>
    <w:p w14:paraId="4B4D25B0" w14:textId="77777777" w:rsidR="00AF423F" w:rsidRPr="000D03B4" w:rsidRDefault="00AF423F" w:rsidP="00A745DB">
      <w:pPr>
        <w:snapToGrid w:val="0"/>
        <w:jc w:val="center"/>
        <w:rPr>
          <w:rFonts w:eastAsia="黑体"/>
          <w:b/>
          <w:sz w:val="44"/>
          <w:szCs w:val="44"/>
        </w:rPr>
      </w:pPr>
    </w:p>
    <w:p w14:paraId="3E1BB91D" w14:textId="77777777" w:rsidR="00AF423F" w:rsidRPr="000D03B4" w:rsidRDefault="00AF423F" w:rsidP="00A745DB">
      <w:pPr>
        <w:widowControl/>
        <w:snapToGrid w:val="0"/>
        <w:jc w:val="center"/>
        <w:rPr>
          <w:rFonts w:eastAsia="黑体"/>
          <w:sz w:val="44"/>
          <w:szCs w:val="44"/>
        </w:rPr>
      </w:pPr>
    </w:p>
    <w:p w14:paraId="48996B92" w14:textId="77777777" w:rsidR="00AF423F" w:rsidRPr="000D03B4" w:rsidRDefault="00AF423F" w:rsidP="00A745DB">
      <w:pPr>
        <w:widowControl/>
        <w:snapToGrid w:val="0"/>
        <w:jc w:val="center"/>
        <w:rPr>
          <w:rFonts w:eastAsia="黑体"/>
          <w:sz w:val="44"/>
          <w:szCs w:val="44"/>
        </w:rPr>
      </w:pPr>
    </w:p>
    <w:p w14:paraId="40C0984E" w14:textId="77777777" w:rsidR="00AF423F" w:rsidRPr="000D03B4" w:rsidRDefault="00AF423F" w:rsidP="00A745DB">
      <w:pPr>
        <w:widowControl/>
        <w:snapToGrid w:val="0"/>
        <w:jc w:val="center"/>
        <w:rPr>
          <w:rFonts w:eastAsia="黑体"/>
          <w:sz w:val="44"/>
          <w:szCs w:val="44"/>
        </w:rPr>
      </w:pPr>
    </w:p>
    <w:p w14:paraId="379FC120" w14:textId="77777777" w:rsidR="00AF423F" w:rsidRPr="000D03B4" w:rsidRDefault="00AF423F" w:rsidP="00A745DB">
      <w:pPr>
        <w:widowControl/>
        <w:snapToGrid w:val="0"/>
        <w:jc w:val="center"/>
        <w:rPr>
          <w:rFonts w:eastAsia="黑体"/>
          <w:sz w:val="44"/>
          <w:szCs w:val="44"/>
        </w:rPr>
      </w:pPr>
    </w:p>
    <w:p w14:paraId="06C0CBD5" w14:textId="77777777" w:rsidR="00AF423F" w:rsidRPr="000D03B4" w:rsidRDefault="00AF423F" w:rsidP="00A745DB">
      <w:pPr>
        <w:widowControl/>
        <w:snapToGrid w:val="0"/>
        <w:jc w:val="center"/>
        <w:rPr>
          <w:rFonts w:eastAsia="黑体"/>
          <w:sz w:val="44"/>
          <w:szCs w:val="44"/>
        </w:rPr>
      </w:pPr>
    </w:p>
    <w:p w14:paraId="2D5870BD" w14:textId="77777777" w:rsidR="00AF423F" w:rsidRPr="000D03B4" w:rsidRDefault="00AF423F" w:rsidP="00A745DB">
      <w:pPr>
        <w:widowControl/>
        <w:snapToGrid w:val="0"/>
        <w:jc w:val="center"/>
        <w:rPr>
          <w:rFonts w:eastAsia="黑体"/>
          <w:sz w:val="44"/>
          <w:szCs w:val="44"/>
        </w:rPr>
      </w:pPr>
    </w:p>
    <w:p w14:paraId="34E9CBA4" w14:textId="77777777" w:rsidR="00AF423F" w:rsidRPr="000D03B4" w:rsidRDefault="00AF423F" w:rsidP="00A745DB">
      <w:pPr>
        <w:widowControl/>
        <w:snapToGrid w:val="0"/>
        <w:jc w:val="center"/>
        <w:rPr>
          <w:rFonts w:eastAsia="黑体"/>
          <w:sz w:val="44"/>
          <w:szCs w:val="44"/>
        </w:rPr>
      </w:pPr>
    </w:p>
    <w:p w14:paraId="08362946" w14:textId="77777777" w:rsidR="00AF423F" w:rsidRPr="000D03B4" w:rsidRDefault="00AF423F" w:rsidP="00A745DB">
      <w:pPr>
        <w:widowControl/>
        <w:snapToGrid w:val="0"/>
        <w:jc w:val="center"/>
        <w:rPr>
          <w:rFonts w:eastAsia="黑体"/>
          <w:sz w:val="44"/>
          <w:szCs w:val="44"/>
        </w:rPr>
      </w:pPr>
    </w:p>
    <w:p w14:paraId="20DA1BFA" w14:textId="77777777" w:rsidR="00AF423F" w:rsidRPr="000D03B4" w:rsidRDefault="00AF423F" w:rsidP="00A745DB">
      <w:pPr>
        <w:widowControl/>
        <w:snapToGrid w:val="0"/>
        <w:jc w:val="center"/>
        <w:rPr>
          <w:rFonts w:eastAsia="黑体"/>
          <w:sz w:val="44"/>
          <w:szCs w:val="44"/>
        </w:rPr>
      </w:pPr>
    </w:p>
    <w:p w14:paraId="6A700C7A" w14:textId="77777777" w:rsidR="00AF423F" w:rsidRPr="000D03B4" w:rsidRDefault="00AF423F" w:rsidP="00A745DB">
      <w:pPr>
        <w:widowControl/>
        <w:snapToGrid w:val="0"/>
        <w:jc w:val="center"/>
        <w:rPr>
          <w:rFonts w:eastAsia="黑体"/>
          <w:sz w:val="36"/>
          <w:szCs w:val="36"/>
        </w:rPr>
      </w:pPr>
      <w:r w:rsidRPr="000D03B4">
        <w:rPr>
          <w:rFonts w:eastAsia="黑体"/>
          <w:sz w:val="36"/>
          <w:szCs w:val="36"/>
        </w:rPr>
        <w:t>中国资产评估协会</w:t>
      </w:r>
    </w:p>
    <w:p w14:paraId="6009F77E" w14:textId="77777777" w:rsidR="001238D1" w:rsidRPr="000D03B4" w:rsidRDefault="001238D1" w:rsidP="00A745DB">
      <w:pPr>
        <w:widowControl/>
        <w:snapToGrid w:val="0"/>
        <w:jc w:val="center"/>
        <w:rPr>
          <w:rFonts w:eastAsia="黑体"/>
          <w:sz w:val="36"/>
          <w:szCs w:val="36"/>
        </w:rPr>
      </w:pPr>
    </w:p>
    <w:p w14:paraId="679B892C" w14:textId="3A475942" w:rsidR="00AF423F" w:rsidRPr="000D03B4" w:rsidRDefault="00AF423F" w:rsidP="00A745DB">
      <w:pPr>
        <w:widowControl/>
        <w:snapToGrid w:val="0"/>
        <w:jc w:val="center"/>
        <w:rPr>
          <w:rFonts w:eastAsia="黑体"/>
          <w:sz w:val="36"/>
          <w:szCs w:val="36"/>
        </w:rPr>
      </w:pPr>
      <w:r w:rsidRPr="000D03B4">
        <w:rPr>
          <w:rFonts w:eastAsia="黑体"/>
          <w:sz w:val="36"/>
          <w:szCs w:val="36"/>
        </w:rPr>
        <w:t>2019</w:t>
      </w:r>
      <w:r w:rsidRPr="000D03B4">
        <w:rPr>
          <w:rFonts w:eastAsia="黑体"/>
          <w:sz w:val="36"/>
          <w:szCs w:val="36"/>
        </w:rPr>
        <w:t>年</w:t>
      </w:r>
      <w:r w:rsidR="002941CC" w:rsidRPr="000D03B4">
        <w:rPr>
          <w:rFonts w:eastAsia="黑体"/>
          <w:sz w:val="36"/>
          <w:szCs w:val="36"/>
        </w:rPr>
        <w:t>7</w:t>
      </w:r>
      <w:r w:rsidRPr="000D03B4">
        <w:rPr>
          <w:rFonts w:eastAsia="黑体"/>
          <w:sz w:val="36"/>
          <w:szCs w:val="36"/>
        </w:rPr>
        <w:t>月</w:t>
      </w:r>
    </w:p>
    <w:p w14:paraId="54EA498E" w14:textId="77777777" w:rsidR="00AF423F" w:rsidRPr="000D03B4" w:rsidRDefault="00AF423F" w:rsidP="00A745DB">
      <w:pPr>
        <w:widowControl/>
        <w:snapToGrid w:val="0"/>
        <w:jc w:val="left"/>
        <w:rPr>
          <w:rFonts w:eastAsia="黑体"/>
          <w:b/>
          <w:sz w:val="44"/>
          <w:szCs w:val="44"/>
        </w:rPr>
      </w:pPr>
    </w:p>
    <w:p w14:paraId="45A8DDA8" w14:textId="77777777" w:rsidR="00712330" w:rsidRPr="000D03B4" w:rsidRDefault="00712330" w:rsidP="00A745DB">
      <w:pPr>
        <w:widowControl/>
        <w:snapToGrid w:val="0"/>
        <w:jc w:val="left"/>
        <w:rPr>
          <w:b/>
          <w:sz w:val="30"/>
          <w:szCs w:val="30"/>
        </w:rPr>
      </w:pPr>
      <w:r w:rsidRPr="000D03B4">
        <w:rPr>
          <w:b/>
          <w:sz w:val="30"/>
          <w:szCs w:val="30"/>
        </w:rPr>
        <w:br w:type="page"/>
      </w:r>
    </w:p>
    <w:p w14:paraId="1EF49B8A" w14:textId="7A13C8E2" w:rsidR="002C24D2" w:rsidRPr="000D03B4" w:rsidRDefault="00C61330" w:rsidP="009B4991">
      <w:pPr>
        <w:spacing w:line="276" w:lineRule="auto"/>
        <w:jc w:val="center"/>
        <w:rPr>
          <w:rFonts w:eastAsia="黑体"/>
          <w:sz w:val="28"/>
          <w:szCs w:val="28"/>
        </w:rPr>
      </w:pPr>
      <w:r w:rsidRPr="000D03B4">
        <w:rPr>
          <w:rFonts w:eastAsia="黑体"/>
          <w:sz w:val="28"/>
          <w:szCs w:val="28"/>
        </w:rPr>
        <w:lastRenderedPageBreak/>
        <w:t>第一章</w:t>
      </w:r>
      <w:r w:rsidRPr="000D03B4">
        <w:rPr>
          <w:rFonts w:eastAsia="黑体"/>
          <w:sz w:val="28"/>
          <w:szCs w:val="28"/>
        </w:rPr>
        <w:t xml:space="preserve"> </w:t>
      </w:r>
      <w:r w:rsidRPr="000D03B4">
        <w:rPr>
          <w:rFonts w:eastAsia="黑体"/>
          <w:sz w:val="28"/>
          <w:szCs w:val="28"/>
        </w:rPr>
        <w:t>概</w:t>
      </w:r>
      <w:r w:rsidR="00BF5689" w:rsidRPr="000D03B4">
        <w:rPr>
          <w:rFonts w:eastAsia="黑体"/>
          <w:sz w:val="28"/>
          <w:szCs w:val="28"/>
        </w:rPr>
        <w:t xml:space="preserve"> </w:t>
      </w:r>
      <w:r w:rsidRPr="000D03B4">
        <w:rPr>
          <w:rFonts w:eastAsia="黑体"/>
          <w:sz w:val="28"/>
          <w:szCs w:val="28"/>
        </w:rPr>
        <w:t>述</w:t>
      </w:r>
    </w:p>
    <w:p w14:paraId="2B31DD3B" w14:textId="40EFD49F" w:rsidR="00506AE0" w:rsidRPr="000D03B4" w:rsidRDefault="00122127" w:rsidP="009B4991">
      <w:pPr>
        <w:adjustRightInd w:val="0"/>
        <w:snapToGrid w:val="0"/>
        <w:spacing w:line="276" w:lineRule="auto"/>
        <w:ind w:firstLineChars="200" w:firstLine="480"/>
        <w:rPr>
          <w:sz w:val="24"/>
        </w:rPr>
      </w:pPr>
      <w:r w:rsidRPr="000D03B4">
        <w:rPr>
          <w:sz w:val="24"/>
        </w:rPr>
        <w:t>党的十九大确立了习近平新时代中国特色社会主义思想的历史地位，制定了决胜全面建成小康社会、夺取新时代中国特色社会主义伟大胜利的宏伟蓝图和行动纲领，作出了一系列重大部署，提出了一系列重大举措，为资产评估行业创新发展指明了方向。《中华人民共和国资产评估法》（以下简称《资产评估法》）的颁布实施，标志着资产评估行业进入了依法治理的新时代，也对资产评估行业依法执业</w:t>
      </w:r>
      <w:r w:rsidR="009B4AF2" w:rsidRPr="000D03B4">
        <w:rPr>
          <w:sz w:val="24"/>
        </w:rPr>
        <w:t>规范管理</w:t>
      </w:r>
      <w:r w:rsidRPr="000D03B4">
        <w:rPr>
          <w:sz w:val="24"/>
        </w:rPr>
        <w:t>提出了</w:t>
      </w:r>
      <w:r w:rsidR="00DF277E" w:rsidRPr="000D03B4">
        <w:rPr>
          <w:sz w:val="24"/>
        </w:rPr>
        <w:t>新的</w:t>
      </w:r>
      <w:r w:rsidRPr="000D03B4">
        <w:rPr>
          <w:sz w:val="24"/>
        </w:rPr>
        <w:t>更高要求。</w:t>
      </w:r>
    </w:p>
    <w:p w14:paraId="3300EEBC" w14:textId="7C27409E" w:rsidR="00506AE0" w:rsidRPr="000D03B4" w:rsidRDefault="00122127" w:rsidP="009B4991">
      <w:pPr>
        <w:adjustRightInd w:val="0"/>
        <w:snapToGrid w:val="0"/>
        <w:spacing w:line="276" w:lineRule="auto"/>
        <w:ind w:firstLineChars="200" w:firstLine="480"/>
        <w:rPr>
          <w:sz w:val="24"/>
        </w:rPr>
      </w:pPr>
      <w:r w:rsidRPr="000D03B4">
        <w:rPr>
          <w:sz w:val="24"/>
        </w:rPr>
        <w:t>为全面贯彻党的十九大精神，</w:t>
      </w:r>
      <w:r w:rsidR="00026A5D" w:rsidRPr="000D03B4">
        <w:rPr>
          <w:sz w:val="24"/>
        </w:rPr>
        <w:t>深入践行</w:t>
      </w:r>
      <w:r w:rsidRPr="000D03B4">
        <w:rPr>
          <w:sz w:val="24"/>
        </w:rPr>
        <w:t>习近平新时代中国特色社会主义思想，推</w:t>
      </w:r>
      <w:r w:rsidR="007E1063" w:rsidRPr="000D03B4">
        <w:rPr>
          <w:sz w:val="24"/>
        </w:rPr>
        <w:t>动</w:t>
      </w:r>
      <w:r w:rsidRPr="000D03B4">
        <w:rPr>
          <w:sz w:val="24"/>
        </w:rPr>
        <w:t>资产评估行业更好服务</w:t>
      </w:r>
      <w:r w:rsidRPr="000D03B4">
        <w:rPr>
          <w:sz w:val="24"/>
        </w:rPr>
        <w:t>“</w:t>
      </w:r>
      <w:r w:rsidRPr="000D03B4">
        <w:rPr>
          <w:sz w:val="24"/>
        </w:rPr>
        <w:t>五位一体</w:t>
      </w:r>
      <w:r w:rsidRPr="000D03B4">
        <w:rPr>
          <w:sz w:val="24"/>
        </w:rPr>
        <w:t>”</w:t>
      </w:r>
      <w:r w:rsidRPr="000D03B4">
        <w:rPr>
          <w:sz w:val="24"/>
        </w:rPr>
        <w:t>总体布局，依法推进资产评估行业改革和发展，中国资产评估协会（以下简称中评协）组织行业力量，对《资产评估行业市场开拓路线指引（</w:t>
      </w:r>
      <w:r w:rsidRPr="000D03B4">
        <w:rPr>
          <w:sz w:val="24"/>
        </w:rPr>
        <w:t>2013</w:t>
      </w:r>
      <w:r w:rsidRPr="000D03B4">
        <w:rPr>
          <w:sz w:val="24"/>
        </w:rPr>
        <w:t>年）》（以下简称</w:t>
      </w:r>
      <w:r w:rsidR="000A59F8" w:rsidRPr="000D03B4">
        <w:rPr>
          <w:sz w:val="24"/>
        </w:rPr>
        <w:t>原</w:t>
      </w:r>
      <w:r w:rsidRPr="000D03B4">
        <w:rPr>
          <w:sz w:val="24"/>
        </w:rPr>
        <w:t>《指引》）进行了修订，制定了《资产评估行业市场开拓路线指引（</w:t>
      </w:r>
      <w:r w:rsidRPr="000D03B4">
        <w:rPr>
          <w:sz w:val="24"/>
        </w:rPr>
        <w:t>2019</w:t>
      </w:r>
      <w:r w:rsidRPr="000D03B4">
        <w:rPr>
          <w:sz w:val="24"/>
        </w:rPr>
        <w:t>年）》（以下简称《指引</w:t>
      </w:r>
      <w:r w:rsidR="000A59F8" w:rsidRPr="000D03B4">
        <w:rPr>
          <w:sz w:val="24"/>
        </w:rPr>
        <w:t>2019</w:t>
      </w:r>
      <w:r w:rsidRPr="000D03B4">
        <w:rPr>
          <w:sz w:val="24"/>
        </w:rPr>
        <w:t>》）。</w:t>
      </w:r>
    </w:p>
    <w:p w14:paraId="036F6F3C" w14:textId="58AC08DD" w:rsidR="00722794" w:rsidRPr="000D03B4" w:rsidRDefault="00122127" w:rsidP="009B4991">
      <w:pPr>
        <w:adjustRightInd w:val="0"/>
        <w:snapToGrid w:val="0"/>
        <w:spacing w:line="276" w:lineRule="auto"/>
        <w:ind w:firstLineChars="200" w:firstLine="480"/>
        <w:rPr>
          <w:sz w:val="24"/>
        </w:rPr>
      </w:pPr>
      <w:r w:rsidRPr="000D03B4">
        <w:rPr>
          <w:sz w:val="24"/>
        </w:rPr>
        <w:t>《指引</w:t>
      </w:r>
      <w:r w:rsidR="007126D3" w:rsidRPr="000D03B4">
        <w:rPr>
          <w:sz w:val="24"/>
        </w:rPr>
        <w:t>2019</w:t>
      </w:r>
      <w:r w:rsidRPr="000D03B4">
        <w:rPr>
          <w:sz w:val="24"/>
        </w:rPr>
        <w:t>》</w:t>
      </w:r>
      <w:r w:rsidR="00B84628" w:rsidRPr="000D03B4">
        <w:rPr>
          <w:sz w:val="24"/>
        </w:rPr>
        <w:t>在原《指引》的基础上，</w:t>
      </w:r>
      <w:r w:rsidR="00684CB4" w:rsidRPr="000D03B4">
        <w:rPr>
          <w:sz w:val="24"/>
        </w:rPr>
        <w:t>根据</w:t>
      </w:r>
      <w:r w:rsidR="00ED32A9" w:rsidRPr="000D03B4">
        <w:rPr>
          <w:sz w:val="24"/>
        </w:rPr>
        <w:t>现有</w:t>
      </w:r>
      <w:r w:rsidR="00684CB4" w:rsidRPr="000D03B4">
        <w:rPr>
          <w:sz w:val="24"/>
        </w:rPr>
        <w:t>法律法规及</w:t>
      </w:r>
      <w:r w:rsidR="007B6D26" w:rsidRPr="000D03B4">
        <w:rPr>
          <w:sz w:val="24"/>
        </w:rPr>
        <w:t>有</w:t>
      </w:r>
      <w:r w:rsidR="00684CB4" w:rsidRPr="000D03B4">
        <w:rPr>
          <w:sz w:val="24"/>
        </w:rPr>
        <w:t>关</w:t>
      </w:r>
      <w:r w:rsidR="007B6D26" w:rsidRPr="000D03B4">
        <w:rPr>
          <w:sz w:val="24"/>
        </w:rPr>
        <w:t>政策文件</w:t>
      </w:r>
      <w:r w:rsidR="00684CB4" w:rsidRPr="000D03B4">
        <w:rPr>
          <w:sz w:val="24"/>
        </w:rPr>
        <w:t>，</w:t>
      </w:r>
      <w:r w:rsidR="00ED32A9" w:rsidRPr="000D03B4">
        <w:rPr>
          <w:sz w:val="24"/>
        </w:rPr>
        <w:t>将</w:t>
      </w:r>
      <w:r w:rsidR="00836665" w:rsidRPr="000D03B4">
        <w:rPr>
          <w:sz w:val="24"/>
        </w:rPr>
        <w:t>资产</w:t>
      </w:r>
      <w:r w:rsidR="00DF277E" w:rsidRPr="000D03B4">
        <w:rPr>
          <w:sz w:val="24"/>
        </w:rPr>
        <w:t>评估</w:t>
      </w:r>
      <w:r w:rsidR="003A3768" w:rsidRPr="000D03B4">
        <w:rPr>
          <w:sz w:val="24"/>
        </w:rPr>
        <w:t>行业</w:t>
      </w:r>
      <w:r w:rsidR="00DF277E" w:rsidRPr="000D03B4">
        <w:rPr>
          <w:sz w:val="24"/>
        </w:rPr>
        <w:t>业务</w:t>
      </w:r>
      <w:r w:rsidR="00ED32A9" w:rsidRPr="000D03B4">
        <w:rPr>
          <w:sz w:val="24"/>
        </w:rPr>
        <w:t>分为</w:t>
      </w:r>
      <w:r w:rsidR="00684CB4" w:rsidRPr="000D03B4">
        <w:rPr>
          <w:sz w:val="24"/>
        </w:rPr>
        <w:t>评估类业务</w:t>
      </w:r>
      <w:r w:rsidR="003679C3" w:rsidRPr="000D03B4">
        <w:rPr>
          <w:sz w:val="24"/>
        </w:rPr>
        <w:t>、评价类业务及咨询类业务三类</w:t>
      </w:r>
      <w:r w:rsidR="003019A9" w:rsidRPr="000D03B4">
        <w:rPr>
          <w:sz w:val="24"/>
        </w:rPr>
        <w:t>。</w:t>
      </w:r>
    </w:p>
    <w:p w14:paraId="62AD2EBD" w14:textId="7FD027BB" w:rsidR="003A75F7" w:rsidRPr="000D03B4" w:rsidRDefault="00351CDB" w:rsidP="009B4991">
      <w:pPr>
        <w:adjustRightInd w:val="0"/>
        <w:snapToGrid w:val="0"/>
        <w:spacing w:line="276" w:lineRule="auto"/>
        <w:ind w:firstLineChars="200" w:firstLine="482"/>
        <w:rPr>
          <w:sz w:val="24"/>
        </w:rPr>
      </w:pPr>
      <w:r w:rsidRPr="000D03B4">
        <w:rPr>
          <w:b/>
          <w:sz w:val="24"/>
        </w:rPr>
        <w:t>评估类业务</w:t>
      </w:r>
      <w:r w:rsidRPr="000D03B4">
        <w:rPr>
          <w:sz w:val="24"/>
        </w:rPr>
        <w:t>是根据《资产评估法》和《资产评估行业财政监督管理办法》</w:t>
      </w:r>
      <w:r w:rsidR="0086551A">
        <w:rPr>
          <w:rFonts w:hint="eastAsia"/>
          <w:sz w:val="24"/>
        </w:rPr>
        <w:t>等</w:t>
      </w:r>
      <w:r w:rsidR="00722794" w:rsidRPr="000D03B4">
        <w:rPr>
          <w:sz w:val="24"/>
        </w:rPr>
        <w:t>有关规定</w:t>
      </w:r>
      <w:r w:rsidRPr="000D03B4">
        <w:rPr>
          <w:sz w:val="24"/>
        </w:rPr>
        <w:t>，以</w:t>
      </w:r>
      <w:r w:rsidRPr="000D03B4">
        <w:rPr>
          <w:sz w:val="24"/>
        </w:rPr>
        <w:t>“</w:t>
      </w:r>
      <w:r w:rsidRPr="000D03B4">
        <w:rPr>
          <w:sz w:val="24"/>
        </w:rPr>
        <w:t>评定、估算</w:t>
      </w:r>
      <w:r w:rsidRPr="000D03B4">
        <w:rPr>
          <w:sz w:val="24"/>
        </w:rPr>
        <w:t>”</w:t>
      </w:r>
      <w:r w:rsidRPr="000D03B4">
        <w:rPr>
          <w:sz w:val="24"/>
        </w:rPr>
        <w:t>为基本方法的业务</w:t>
      </w:r>
      <w:r w:rsidR="00512301" w:rsidRPr="00512301">
        <w:rPr>
          <w:rFonts w:hint="eastAsia"/>
          <w:sz w:val="24"/>
        </w:rPr>
        <w:t>，其中也包括估值业务</w:t>
      </w:r>
      <w:r w:rsidR="003019A9" w:rsidRPr="000D03B4">
        <w:rPr>
          <w:sz w:val="24"/>
        </w:rPr>
        <w:t>。近年来，</w:t>
      </w:r>
      <w:r w:rsidRPr="000D03B4">
        <w:rPr>
          <w:sz w:val="24"/>
        </w:rPr>
        <w:t>“</w:t>
      </w:r>
      <w:r w:rsidRPr="000D03B4">
        <w:rPr>
          <w:sz w:val="24"/>
        </w:rPr>
        <w:t>估值</w:t>
      </w:r>
      <w:r w:rsidRPr="000D03B4">
        <w:rPr>
          <w:sz w:val="24"/>
        </w:rPr>
        <w:t>”</w:t>
      </w:r>
      <w:r w:rsidR="003019A9" w:rsidRPr="000D03B4">
        <w:rPr>
          <w:sz w:val="24"/>
        </w:rPr>
        <w:t>业务</w:t>
      </w:r>
      <w:r w:rsidR="009352CB" w:rsidRPr="000D03B4">
        <w:rPr>
          <w:sz w:val="24"/>
        </w:rPr>
        <w:t>先后在</w:t>
      </w:r>
      <w:r w:rsidRPr="000D03B4">
        <w:rPr>
          <w:sz w:val="24"/>
        </w:rPr>
        <w:t>《中央企业境外国有产权管理暂行办法》</w:t>
      </w:r>
      <w:r w:rsidR="00365357" w:rsidRPr="000D03B4">
        <w:rPr>
          <w:sz w:val="24"/>
        </w:rPr>
        <w:t>（</w:t>
      </w:r>
      <w:r w:rsidRPr="000D03B4">
        <w:rPr>
          <w:sz w:val="24"/>
        </w:rPr>
        <w:t>国务院国资委令第</w:t>
      </w:r>
      <w:r w:rsidRPr="000D03B4">
        <w:rPr>
          <w:sz w:val="24"/>
        </w:rPr>
        <w:t>27</w:t>
      </w:r>
      <w:r w:rsidRPr="000D03B4">
        <w:rPr>
          <w:sz w:val="24"/>
        </w:rPr>
        <w:t>号</w:t>
      </w:r>
      <w:r w:rsidR="00365357" w:rsidRPr="000D03B4">
        <w:rPr>
          <w:sz w:val="24"/>
        </w:rPr>
        <w:t>）</w:t>
      </w:r>
      <w:r w:rsidR="009352CB" w:rsidRPr="000D03B4">
        <w:rPr>
          <w:sz w:val="24"/>
        </w:rPr>
        <w:t>、</w:t>
      </w:r>
      <w:r w:rsidRPr="000D03B4">
        <w:rPr>
          <w:sz w:val="24"/>
        </w:rPr>
        <w:t>《上市公司重大资产重组</w:t>
      </w:r>
      <w:r w:rsidR="006F7A3F" w:rsidRPr="000D03B4">
        <w:rPr>
          <w:sz w:val="24"/>
        </w:rPr>
        <w:t>管理办法</w:t>
      </w:r>
      <w:r w:rsidRPr="000D03B4">
        <w:rPr>
          <w:sz w:val="24"/>
        </w:rPr>
        <w:t>（</w:t>
      </w:r>
      <w:r w:rsidRPr="000D03B4">
        <w:rPr>
          <w:sz w:val="24"/>
        </w:rPr>
        <w:t>2014</w:t>
      </w:r>
      <w:r w:rsidRPr="000D03B4">
        <w:rPr>
          <w:sz w:val="24"/>
        </w:rPr>
        <w:t>年修订）》</w:t>
      </w:r>
      <w:r w:rsidR="006F7A3F" w:rsidRPr="000D03B4">
        <w:rPr>
          <w:sz w:val="24"/>
        </w:rPr>
        <w:t>（证监会令第</w:t>
      </w:r>
      <w:r w:rsidR="006F7A3F" w:rsidRPr="000D03B4">
        <w:rPr>
          <w:sz w:val="24"/>
        </w:rPr>
        <w:t>109</w:t>
      </w:r>
      <w:r w:rsidR="006F7A3F" w:rsidRPr="000D03B4">
        <w:rPr>
          <w:sz w:val="24"/>
        </w:rPr>
        <w:t>号）</w:t>
      </w:r>
      <w:r w:rsidR="009352CB" w:rsidRPr="000D03B4">
        <w:rPr>
          <w:sz w:val="24"/>
        </w:rPr>
        <w:t>、</w:t>
      </w:r>
      <w:r w:rsidRPr="000D03B4">
        <w:rPr>
          <w:sz w:val="24"/>
        </w:rPr>
        <w:t>《关于进一步明确国有金融企业直接股权投资有关资产管理问题的通知》</w:t>
      </w:r>
      <w:r w:rsidR="009352CB" w:rsidRPr="000D03B4">
        <w:rPr>
          <w:sz w:val="24"/>
        </w:rPr>
        <w:t>（财金</w:t>
      </w:r>
      <w:r w:rsidR="003019A9" w:rsidRPr="000D03B4">
        <w:rPr>
          <w:sz w:val="24"/>
        </w:rPr>
        <w:t>〔</w:t>
      </w:r>
      <w:r w:rsidR="009352CB" w:rsidRPr="000D03B4">
        <w:rPr>
          <w:sz w:val="24"/>
        </w:rPr>
        <w:t>2014</w:t>
      </w:r>
      <w:r w:rsidR="003019A9" w:rsidRPr="000D03B4">
        <w:rPr>
          <w:sz w:val="24"/>
        </w:rPr>
        <w:t>〕</w:t>
      </w:r>
      <w:r w:rsidR="009352CB" w:rsidRPr="000D03B4">
        <w:rPr>
          <w:sz w:val="24"/>
        </w:rPr>
        <w:t>31</w:t>
      </w:r>
      <w:r w:rsidR="009352CB" w:rsidRPr="000D03B4">
        <w:rPr>
          <w:sz w:val="24"/>
        </w:rPr>
        <w:t>号）等文件中</w:t>
      </w:r>
      <w:r w:rsidR="003019A9" w:rsidRPr="000D03B4">
        <w:rPr>
          <w:sz w:val="24"/>
        </w:rPr>
        <w:t>涉及</w:t>
      </w:r>
      <w:r w:rsidR="009352CB" w:rsidRPr="000D03B4">
        <w:rPr>
          <w:sz w:val="24"/>
        </w:rPr>
        <w:t>，</w:t>
      </w:r>
      <w:r w:rsidR="00C82D94" w:rsidRPr="000D03B4">
        <w:rPr>
          <w:sz w:val="24"/>
        </w:rPr>
        <w:t>鉴于</w:t>
      </w:r>
      <w:r w:rsidR="003019A9" w:rsidRPr="000D03B4">
        <w:rPr>
          <w:sz w:val="24"/>
        </w:rPr>
        <w:t>其</w:t>
      </w:r>
      <w:r w:rsidR="009352CB" w:rsidRPr="000D03B4">
        <w:rPr>
          <w:sz w:val="24"/>
        </w:rPr>
        <w:t>同样</w:t>
      </w:r>
      <w:r w:rsidRPr="000D03B4">
        <w:rPr>
          <w:sz w:val="24"/>
        </w:rPr>
        <w:t>遵循</w:t>
      </w:r>
      <w:r w:rsidRPr="000D03B4">
        <w:rPr>
          <w:sz w:val="24"/>
        </w:rPr>
        <w:t>“</w:t>
      </w:r>
      <w:r w:rsidRPr="000D03B4">
        <w:rPr>
          <w:sz w:val="24"/>
        </w:rPr>
        <w:t>评定</w:t>
      </w:r>
      <w:r w:rsidR="00C82D94" w:rsidRPr="000D03B4">
        <w:rPr>
          <w:sz w:val="24"/>
        </w:rPr>
        <w:t>、</w:t>
      </w:r>
      <w:r w:rsidRPr="000D03B4">
        <w:rPr>
          <w:sz w:val="24"/>
        </w:rPr>
        <w:t>估算</w:t>
      </w:r>
      <w:r w:rsidRPr="000D03B4">
        <w:rPr>
          <w:sz w:val="24"/>
        </w:rPr>
        <w:t>”</w:t>
      </w:r>
      <w:r w:rsidR="008F77E3">
        <w:rPr>
          <w:sz w:val="24"/>
        </w:rPr>
        <w:t>的基本方法，</w:t>
      </w:r>
      <w:r w:rsidR="002B7AFB" w:rsidRPr="000D03B4">
        <w:rPr>
          <w:sz w:val="24"/>
        </w:rPr>
        <w:t>《指引</w:t>
      </w:r>
      <w:r w:rsidR="002B7AFB" w:rsidRPr="000D03B4">
        <w:rPr>
          <w:sz w:val="24"/>
        </w:rPr>
        <w:t>2019</w:t>
      </w:r>
      <w:r w:rsidR="002B7AFB" w:rsidRPr="000D03B4">
        <w:rPr>
          <w:sz w:val="24"/>
        </w:rPr>
        <w:t>》</w:t>
      </w:r>
      <w:r w:rsidRPr="000D03B4">
        <w:rPr>
          <w:sz w:val="24"/>
        </w:rPr>
        <w:t>把</w:t>
      </w:r>
      <w:r w:rsidR="003A75F7" w:rsidRPr="000D03B4">
        <w:rPr>
          <w:sz w:val="24"/>
        </w:rPr>
        <w:t>“</w:t>
      </w:r>
      <w:r w:rsidRPr="000D03B4">
        <w:rPr>
          <w:sz w:val="24"/>
        </w:rPr>
        <w:t>估值</w:t>
      </w:r>
      <w:r w:rsidR="003A75F7" w:rsidRPr="000D03B4">
        <w:rPr>
          <w:sz w:val="24"/>
        </w:rPr>
        <w:t>”</w:t>
      </w:r>
      <w:r w:rsidRPr="000D03B4">
        <w:rPr>
          <w:sz w:val="24"/>
        </w:rPr>
        <w:t>业务归入评估类业务。</w:t>
      </w:r>
    </w:p>
    <w:p w14:paraId="5A9371C7" w14:textId="2F2B978A" w:rsidR="00351CDB" w:rsidRPr="000D03B4" w:rsidRDefault="00722794" w:rsidP="009B4991">
      <w:pPr>
        <w:adjustRightInd w:val="0"/>
        <w:snapToGrid w:val="0"/>
        <w:spacing w:line="276" w:lineRule="auto"/>
        <w:ind w:firstLineChars="200" w:firstLine="480"/>
        <w:rPr>
          <w:sz w:val="24"/>
        </w:rPr>
      </w:pPr>
      <w:r w:rsidRPr="000D03B4">
        <w:rPr>
          <w:sz w:val="24"/>
        </w:rPr>
        <w:t>评价类业务和咨询类业务主要是</w:t>
      </w:r>
      <w:r w:rsidR="003019A9" w:rsidRPr="000D03B4">
        <w:rPr>
          <w:sz w:val="24"/>
        </w:rPr>
        <w:t>在</w:t>
      </w:r>
      <w:r w:rsidRPr="000D03B4">
        <w:rPr>
          <w:sz w:val="24"/>
        </w:rPr>
        <w:t>资产评估行业执业现状</w:t>
      </w:r>
      <w:r w:rsidR="003019A9" w:rsidRPr="000D03B4">
        <w:rPr>
          <w:sz w:val="24"/>
        </w:rPr>
        <w:t>基础上</w:t>
      </w:r>
      <w:r w:rsidRPr="000D03B4">
        <w:rPr>
          <w:sz w:val="24"/>
        </w:rPr>
        <w:t>提升</w:t>
      </w:r>
      <w:r w:rsidR="00414E1D" w:rsidRPr="000D03B4">
        <w:rPr>
          <w:sz w:val="24"/>
        </w:rPr>
        <w:t>拓展</w:t>
      </w:r>
      <w:r w:rsidRPr="000D03B4">
        <w:rPr>
          <w:sz w:val="24"/>
        </w:rPr>
        <w:t>的业务类型，这些</w:t>
      </w:r>
      <w:r w:rsidR="00B66EF6" w:rsidRPr="000D03B4">
        <w:rPr>
          <w:sz w:val="24"/>
        </w:rPr>
        <w:t>业务</w:t>
      </w:r>
      <w:r w:rsidR="003019A9" w:rsidRPr="000D03B4">
        <w:rPr>
          <w:sz w:val="24"/>
        </w:rPr>
        <w:t>是以资产评估机构及</w:t>
      </w:r>
      <w:r w:rsidR="004277C9">
        <w:rPr>
          <w:rFonts w:hint="eastAsia"/>
          <w:sz w:val="24"/>
        </w:rPr>
        <w:t>评估专业</w:t>
      </w:r>
      <w:r w:rsidR="003019A9" w:rsidRPr="000D03B4">
        <w:rPr>
          <w:sz w:val="24"/>
        </w:rPr>
        <w:t>人员的执业能力为基础延伸而来，部分</w:t>
      </w:r>
      <w:r w:rsidRPr="000D03B4">
        <w:rPr>
          <w:sz w:val="24"/>
        </w:rPr>
        <w:t>业务以国家</w:t>
      </w:r>
      <w:r w:rsidR="003019A9" w:rsidRPr="000D03B4">
        <w:rPr>
          <w:sz w:val="24"/>
        </w:rPr>
        <w:t>有关政策文件</w:t>
      </w:r>
      <w:r w:rsidRPr="000D03B4">
        <w:rPr>
          <w:sz w:val="24"/>
        </w:rPr>
        <w:t>为依据。</w:t>
      </w:r>
      <w:r w:rsidR="00351CDB" w:rsidRPr="000D03B4">
        <w:rPr>
          <w:b/>
          <w:sz w:val="24"/>
        </w:rPr>
        <w:t>评价类业务</w:t>
      </w:r>
      <w:r w:rsidR="00351CDB" w:rsidRPr="000D03B4">
        <w:rPr>
          <w:sz w:val="24"/>
        </w:rPr>
        <w:t>是指</w:t>
      </w:r>
      <w:r w:rsidR="002B7AFB" w:rsidRPr="000D03B4">
        <w:rPr>
          <w:sz w:val="24"/>
        </w:rPr>
        <w:t>评估专业人员</w:t>
      </w:r>
      <w:r w:rsidR="00351CDB" w:rsidRPr="000D03B4">
        <w:rPr>
          <w:sz w:val="24"/>
        </w:rPr>
        <w:t>根据评价标准，对评价对象的财务、运营、偿债、发展</w:t>
      </w:r>
      <w:r w:rsidR="00C82D94" w:rsidRPr="000D03B4">
        <w:rPr>
          <w:sz w:val="24"/>
        </w:rPr>
        <w:t>或者</w:t>
      </w:r>
      <w:r w:rsidR="00351CDB" w:rsidRPr="000D03B4">
        <w:rPr>
          <w:sz w:val="24"/>
        </w:rPr>
        <w:t>内控等方面进行审核，</w:t>
      </w:r>
      <w:r w:rsidR="00A93327" w:rsidRPr="000D03B4">
        <w:rPr>
          <w:sz w:val="24"/>
        </w:rPr>
        <w:t>通过</w:t>
      </w:r>
      <w:r w:rsidR="00351CDB" w:rsidRPr="000D03B4">
        <w:rPr>
          <w:sz w:val="24"/>
        </w:rPr>
        <w:t>量化和非量化的测评，最终得出评审</w:t>
      </w:r>
      <w:r w:rsidR="00A93327" w:rsidRPr="000D03B4">
        <w:rPr>
          <w:sz w:val="24"/>
        </w:rPr>
        <w:t>（</w:t>
      </w:r>
      <w:r w:rsidR="00351CDB" w:rsidRPr="000D03B4">
        <w:rPr>
          <w:sz w:val="24"/>
        </w:rPr>
        <w:t>评价</w:t>
      </w:r>
      <w:r w:rsidR="00A93327" w:rsidRPr="000D03B4">
        <w:rPr>
          <w:sz w:val="24"/>
        </w:rPr>
        <w:t>）</w:t>
      </w:r>
      <w:r w:rsidR="00351CDB" w:rsidRPr="000D03B4">
        <w:rPr>
          <w:sz w:val="24"/>
        </w:rPr>
        <w:t>结论并出具评审</w:t>
      </w:r>
      <w:r w:rsidR="00A93327" w:rsidRPr="000D03B4">
        <w:rPr>
          <w:sz w:val="24"/>
        </w:rPr>
        <w:t>（</w:t>
      </w:r>
      <w:r w:rsidR="00351CDB" w:rsidRPr="000D03B4">
        <w:rPr>
          <w:sz w:val="24"/>
        </w:rPr>
        <w:t>评价</w:t>
      </w:r>
      <w:r w:rsidR="00A93327" w:rsidRPr="000D03B4">
        <w:rPr>
          <w:sz w:val="24"/>
        </w:rPr>
        <w:t>）</w:t>
      </w:r>
      <w:r w:rsidR="00351CDB" w:rsidRPr="000D03B4">
        <w:rPr>
          <w:sz w:val="24"/>
        </w:rPr>
        <w:t>意见或报告的业务。</w:t>
      </w:r>
      <w:r w:rsidR="00351CDB" w:rsidRPr="000D03B4">
        <w:rPr>
          <w:b/>
          <w:sz w:val="24"/>
        </w:rPr>
        <w:t>咨询类业务</w:t>
      </w:r>
      <w:r w:rsidR="00351CDB" w:rsidRPr="000D03B4">
        <w:rPr>
          <w:sz w:val="24"/>
        </w:rPr>
        <w:t>是指</w:t>
      </w:r>
      <w:r w:rsidR="002B7AFB" w:rsidRPr="000D03B4">
        <w:rPr>
          <w:sz w:val="24"/>
        </w:rPr>
        <w:t>评估专业人员根据委托方需求，</w:t>
      </w:r>
      <w:r w:rsidR="00351CDB" w:rsidRPr="000D03B4">
        <w:rPr>
          <w:sz w:val="24"/>
        </w:rPr>
        <w:t>应用科学的方法</w:t>
      </w:r>
      <w:r w:rsidR="002B7AFB" w:rsidRPr="000D03B4">
        <w:rPr>
          <w:sz w:val="24"/>
        </w:rPr>
        <w:t>进行定量和定性分析</w:t>
      </w:r>
      <w:r w:rsidR="00351CDB" w:rsidRPr="000D03B4">
        <w:rPr>
          <w:sz w:val="24"/>
        </w:rPr>
        <w:t>，</w:t>
      </w:r>
      <w:r w:rsidR="002B7AFB" w:rsidRPr="000D03B4">
        <w:rPr>
          <w:sz w:val="24"/>
        </w:rPr>
        <w:t>查出</w:t>
      </w:r>
      <w:r w:rsidR="00351CDB" w:rsidRPr="000D03B4">
        <w:rPr>
          <w:sz w:val="24"/>
        </w:rPr>
        <w:t>存在的主要问题</w:t>
      </w:r>
      <w:r w:rsidR="002B7AFB" w:rsidRPr="000D03B4">
        <w:rPr>
          <w:sz w:val="24"/>
        </w:rPr>
        <w:t>和原因</w:t>
      </w:r>
      <w:r w:rsidR="00351CDB" w:rsidRPr="000D03B4">
        <w:rPr>
          <w:sz w:val="24"/>
        </w:rPr>
        <w:t>，提出</w:t>
      </w:r>
      <w:r w:rsidR="003019A9" w:rsidRPr="000D03B4">
        <w:rPr>
          <w:sz w:val="24"/>
        </w:rPr>
        <w:t>并指导实施</w:t>
      </w:r>
      <w:r w:rsidR="00DF277E" w:rsidRPr="000D03B4">
        <w:rPr>
          <w:sz w:val="24"/>
        </w:rPr>
        <w:t>改进</w:t>
      </w:r>
      <w:r w:rsidR="00351CDB" w:rsidRPr="000D03B4">
        <w:rPr>
          <w:sz w:val="24"/>
        </w:rPr>
        <w:t>方案，</w:t>
      </w:r>
      <w:r w:rsidR="003019A9" w:rsidRPr="000D03B4">
        <w:rPr>
          <w:sz w:val="24"/>
        </w:rPr>
        <w:t>从而</w:t>
      </w:r>
      <w:r w:rsidR="00351CDB" w:rsidRPr="000D03B4">
        <w:rPr>
          <w:sz w:val="24"/>
        </w:rPr>
        <w:t>提高</w:t>
      </w:r>
      <w:r w:rsidR="002B7AFB" w:rsidRPr="000D03B4">
        <w:rPr>
          <w:sz w:val="24"/>
        </w:rPr>
        <w:t>委托方</w:t>
      </w:r>
      <w:r w:rsidR="00351CDB" w:rsidRPr="000D03B4">
        <w:rPr>
          <w:sz w:val="24"/>
        </w:rPr>
        <w:t>的</w:t>
      </w:r>
      <w:r w:rsidR="002B7AFB" w:rsidRPr="000D03B4">
        <w:rPr>
          <w:sz w:val="24"/>
        </w:rPr>
        <w:t>经济效益或</w:t>
      </w:r>
      <w:r w:rsidR="00351CDB" w:rsidRPr="000D03B4">
        <w:rPr>
          <w:sz w:val="24"/>
        </w:rPr>
        <w:t>管理水平</w:t>
      </w:r>
      <w:r w:rsidR="00A93327" w:rsidRPr="000D03B4">
        <w:rPr>
          <w:sz w:val="24"/>
        </w:rPr>
        <w:t>的业务</w:t>
      </w:r>
      <w:r w:rsidR="00351CDB" w:rsidRPr="000D03B4">
        <w:rPr>
          <w:sz w:val="24"/>
        </w:rPr>
        <w:t>。</w:t>
      </w:r>
      <w:r w:rsidR="00126582" w:rsidRPr="000D03B4">
        <w:rPr>
          <w:sz w:val="24"/>
        </w:rPr>
        <w:t xml:space="preserve"> </w:t>
      </w:r>
    </w:p>
    <w:p w14:paraId="66C4D988" w14:textId="7DEC3225" w:rsidR="00F05644" w:rsidRPr="000D03B4" w:rsidRDefault="009352CB" w:rsidP="009B4991">
      <w:pPr>
        <w:adjustRightInd w:val="0"/>
        <w:snapToGrid w:val="0"/>
        <w:spacing w:line="276" w:lineRule="auto"/>
        <w:ind w:firstLineChars="200" w:firstLine="480"/>
        <w:rPr>
          <w:sz w:val="24"/>
        </w:rPr>
      </w:pPr>
      <w:r w:rsidRPr="000D03B4">
        <w:rPr>
          <w:sz w:val="24"/>
        </w:rPr>
        <w:t>《指引</w:t>
      </w:r>
      <w:r w:rsidRPr="000D03B4">
        <w:rPr>
          <w:sz w:val="24"/>
        </w:rPr>
        <w:t>2019</w:t>
      </w:r>
      <w:r w:rsidRPr="000D03B4">
        <w:rPr>
          <w:sz w:val="24"/>
        </w:rPr>
        <w:t>》</w:t>
      </w:r>
      <w:r w:rsidR="00F05644" w:rsidRPr="000D03B4">
        <w:rPr>
          <w:rFonts w:hint="eastAsia"/>
          <w:sz w:val="24"/>
        </w:rPr>
        <w:t>在</w:t>
      </w:r>
      <w:r w:rsidR="00650790" w:rsidRPr="000D03B4">
        <w:rPr>
          <w:sz w:val="24"/>
        </w:rPr>
        <w:t>划</w:t>
      </w:r>
      <w:r w:rsidR="00302B32">
        <w:rPr>
          <w:sz w:val="24"/>
        </w:rPr>
        <w:t>分</w:t>
      </w:r>
      <w:r w:rsidRPr="000D03B4">
        <w:rPr>
          <w:sz w:val="24"/>
        </w:rPr>
        <w:t>8</w:t>
      </w:r>
      <w:r w:rsidR="009B5733" w:rsidRPr="000D03B4">
        <w:rPr>
          <w:sz w:val="24"/>
        </w:rPr>
        <w:t>5</w:t>
      </w:r>
      <w:r w:rsidRPr="000D03B4">
        <w:rPr>
          <w:sz w:val="24"/>
        </w:rPr>
        <w:t>项评估类业务、</w:t>
      </w:r>
      <w:r w:rsidRPr="000D03B4">
        <w:rPr>
          <w:sz w:val="24"/>
        </w:rPr>
        <w:t>12</w:t>
      </w:r>
      <w:r w:rsidRPr="000D03B4">
        <w:rPr>
          <w:sz w:val="24"/>
        </w:rPr>
        <w:t>项评价类业务和</w:t>
      </w:r>
      <w:r w:rsidRPr="000D03B4">
        <w:rPr>
          <w:sz w:val="24"/>
        </w:rPr>
        <w:t>29</w:t>
      </w:r>
      <w:r w:rsidRPr="000D03B4">
        <w:rPr>
          <w:sz w:val="24"/>
        </w:rPr>
        <w:t>项咨询类业务</w:t>
      </w:r>
      <w:r w:rsidR="00F05644" w:rsidRPr="000D03B4">
        <w:rPr>
          <w:rFonts w:hint="eastAsia"/>
          <w:sz w:val="24"/>
        </w:rPr>
        <w:t>基础上，</w:t>
      </w:r>
      <w:r w:rsidR="00F05644" w:rsidRPr="000D03B4">
        <w:rPr>
          <w:sz w:val="24"/>
        </w:rPr>
        <w:t>根据不同需求方，对资产评估行业业务进行了进一步划分</w:t>
      </w:r>
      <w:r w:rsidR="00CD6DC3" w:rsidRPr="000D03B4">
        <w:rPr>
          <w:sz w:val="24"/>
        </w:rPr>
        <w:t>。</w:t>
      </w:r>
    </w:p>
    <w:p w14:paraId="20BFFE47" w14:textId="28DA297F" w:rsidR="000A59F8" w:rsidRPr="000D03B4" w:rsidRDefault="00D65BB4" w:rsidP="009B4991">
      <w:pPr>
        <w:adjustRightInd w:val="0"/>
        <w:snapToGrid w:val="0"/>
        <w:spacing w:line="276" w:lineRule="auto"/>
        <w:ind w:firstLineChars="200" w:firstLine="480"/>
        <w:rPr>
          <w:sz w:val="24"/>
        </w:rPr>
      </w:pPr>
      <w:r w:rsidRPr="000D03B4">
        <w:rPr>
          <w:sz w:val="24"/>
        </w:rPr>
        <w:t>《指引</w:t>
      </w:r>
      <w:r w:rsidRPr="000D03B4">
        <w:rPr>
          <w:sz w:val="24"/>
        </w:rPr>
        <w:t>2019</w:t>
      </w:r>
      <w:r w:rsidRPr="000D03B4">
        <w:rPr>
          <w:sz w:val="24"/>
        </w:rPr>
        <w:t>》</w:t>
      </w:r>
      <w:r w:rsidR="00414E1D" w:rsidRPr="000D03B4">
        <w:rPr>
          <w:sz w:val="24"/>
        </w:rPr>
        <w:t>尽可能完整地</w:t>
      </w:r>
      <w:r w:rsidR="003A3768" w:rsidRPr="000D03B4">
        <w:rPr>
          <w:sz w:val="24"/>
        </w:rPr>
        <w:t>梳理、归集了触发</w:t>
      </w:r>
      <w:r w:rsidR="00DF277E" w:rsidRPr="000D03B4">
        <w:rPr>
          <w:sz w:val="24"/>
        </w:rPr>
        <w:t>业务</w:t>
      </w:r>
      <w:r w:rsidR="004A68C6" w:rsidRPr="000D03B4">
        <w:rPr>
          <w:sz w:val="24"/>
        </w:rPr>
        <w:t>的具体经济行为</w:t>
      </w:r>
      <w:r w:rsidR="00414E1D" w:rsidRPr="000D03B4">
        <w:rPr>
          <w:sz w:val="24"/>
        </w:rPr>
        <w:t>，</w:t>
      </w:r>
      <w:r w:rsidR="00F00C1D" w:rsidRPr="000D03B4">
        <w:rPr>
          <w:sz w:val="24"/>
        </w:rPr>
        <w:t>并对经济行为作了简要阐述，</w:t>
      </w:r>
      <w:r w:rsidR="00414E1D" w:rsidRPr="000D03B4">
        <w:rPr>
          <w:sz w:val="24"/>
        </w:rPr>
        <w:t>列出了经济行为所涉及的相关政策文件</w:t>
      </w:r>
      <w:r w:rsidRPr="000D03B4">
        <w:rPr>
          <w:sz w:val="24"/>
        </w:rPr>
        <w:t>。</w:t>
      </w:r>
      <w:r w:rsidR="00DC760B" w:rsidRPr="000D03B4">
        <w:rPr>
          <w:sz w:val="24"/>
        </w:rPr>
        <w:t>与</w:t>
      </w:r>
      <w:r w:rsidR="000A59F8" w:rsidRPr="000D03B4">
        <w:rPr>
          <w:sz w:val="24"/>
        </w:rPr>
        <w:t>原《指引》相比，</w:t>
      </w:r>
      <w:r w:rsidR="00DC760B" w:rsidRPr="000D03B4">
        <w:rPr>
          <w:sz w:val="24"/>
        </w:rPr>
        <w:t>《指引</w:t>
      </w:r>
      <w:r w:rsidR="000A59F8" w:rsidRPr="000D03B4">
        <w:rPr>
          <w:sz w:val="24"/>
        </w:rPr>
        <w:t>2019</w:t>
      </w:r>
      <w:r w:rsidR="00DC760B" w:rsidRPr="000D03B4">
        <w:rPr>
          <w:sz w:val="24"/>
        </w:rPr>
        <w:t>》中</w:t>
      </w:r>
      <w:r w:rsidR="0050557E" w:rsidRPr="000D03B4">
        <w:rPr>
          <w:sz w:val="24"/>
        </w:rPr>
        <w:t>触发</w:t>
      </w:r>
      <w:r w:rsidR="00DF277E" w:rsidRPr="000D03B4">
        <w:rPr>
          <w:sz w:val="24"/>
        </w:rPr>
        <w:t>业务</w:t>
      </w:r>
      <w:r w:rsidR="003019A9" w:rsidRPr="000D03B4">
        <w:rPr>
          <w:sz w:val="24"/>
        </w:rPr>
        <w:t>的具体</w:t>
      </w:r>
      <w:r w:rsidR="00DC760B" w:rsidRPr="000D03B4">
        <w:rPr>
          <w:sz w:val="24"/>
        </w:rPr>
        <w:t>经济行为增加</w:t>
      </w:r>
      <w:r w:rsidR="00DC760B" w:rsidRPr="000D03B4">
        <w:rPr>
          <w:sz w:val="24"/>
        </w:rPr>
        <w:t>4</w:t>
      </w:r>
      <w:r w:rsidR="009B5733" w:rsidRPr="000D03B4">
        <w:rPr>
          <w:sz w:val="24"/>
        </w:rPr>
        <w:t>5</w:t>
      </w:r>
      <w:r w:rsidR="00DC760B" w:rsidRPr="000D03B4">
        <w:rPr>
          <w:sz w:val="24"/>
        </w:rPr>
        <w:t>项，调整</w:t>
      </w:r>
      <w:r w:rsidR="00DC760B" w:rsidRPr="000D03B4">
        <w:rPr>
          <w:sz w:val="24"/>
        </w:rPr>
        <w:t>9</w:t>
      </w:r>
      <w:r w:rsidR="00DC760B" w:rsidRPr="000D03B4">
        <w:rPr>
          <w:sz w:val="24"/>
        </w:rPr>
        <w:t>项，删除</w:t>
      </w:r>
      <w:r w:rsidR="00DC760B" w:rsidRPr="000D03B4">
        <w:rPr>
          <w:sz w:val="24"/>
        </w:rPr>
        <w:t>7</w:t>
      </w:r>
      <w:r w:rsidR="00DC760B" w:rsidRPr="000D03B4">
        <w:rPr>
          <w:sz w:val="24"/>
        </w:rPr>
        <w:t>项，共计</w:t>
      </w:r>
      <w:r w:rsidR="00DC760B" w:rsidRPr="000D03B4">
        <w:rPr>
          <w:sz w:val="24"/>
        </w:rPr>
        <w:t>12</w:t>
      </w:r>
      <w:r w:rsidR="009B5733" w:rsidRPr="000D03B4">
        <w:rPr>
          <w:sz w:val="24"/>
        </w:rPr>
        <w:t>6</w:t>
      </w:r>
      <w:r w:rsidR="00DC760B" w:rsidRPr="000D03B4">
        <w:rPr>
          <w:sz w:val="24"/>
        </w:rPr>
        <w:t>项。</w:t>
      </w:r>
    </w:p>
    <w:p w14:paraId="1AAC39BB" w14:textId="4BF61596" w:rsidR="009B4991" w:rsidRPr="000D03B4" w:rsidRDefault="00B84628" w:rsidP="009B4991">
      <w:pPr>
        <w:adjustRightInd w:val="0"/>
        <w:snapToGrid w:val="0"/>
        <w:spacing w:line="276" w:lineRule="auto"/>
        <w:ind w:firstLineChars="200" w:firstLine="480"/>
        <w:rPr>
          <w:rFonts w:eastAsia="黑体"/>
          <w:sz w:val="28"/>
          <w:szCs w:val="28"/>
        </w:rPr>
      </w:pPr>
      <w:r w:rsidRPr="000D03B4">
        <w:rPr>
          <w:sz w:val="24"/>
        </w:rPr>
        <w:t>需要强调的是，</w:t>
      </w:r>
      <w:r w:rsidR="000A59F8" w:rsidRPr="000D03B4">
        <w:rPr>
          <w:sz w:val="24"/>
        </w:rPr>
        <w:t>资产评估行业实际开展的业务</w:t>
      </w:r>
      <w:r w:rsidRPr="000D03B4">
        <w:rPr>
          <w:sz w:val="24"/>
        </w:rPr>
        <w:t>包括但</w:t>
      </w:r>
      <w:r w:rsidR="000A59F8" w:rsidRPr="000D03B4">
        <w:rPr>
          <w:sz w:val="24"/>
        </w:rPr>
        <w:t>不</w:t>
      </w:r>
      <w:r w:rsidRPr="000D03B4">
        <w:rPr>
          <w:sz w:val="24"/>
        </w:rPr>
        <w:t>仅</w:t>
      </w:r>
      <w:r w:rsidR="000A59F8" w:rsidRPr="000D03B4">
        <w:rPr>
          <w:sz w:val="24"/>
        </w:rPr>
        <w:t>限于</w:t>
      </w:r>
      <w:r w:rsidR="00122127" w:rsidRPr="000D03B4">
        <w:rPr>
          <w:sz w:val="24"/>
        </w:rPr>
        <w:t>《指引</w:t>
      </w:r>
      <w:r w:rsidR="000A59F8" w:rsidRPr="000D03B4">
        <w:rPr>
          <w:sz w:val="24"/>
        </w:rPr>
        <w:t>2019</w:t>
      </w:r>
      <w:r w:rsidR="00122127" w:rsidRPr="000D03B4">
        <w:rPr>
          <w:sz w:val="24"/>
        </w:rPr>
        <w:t>》中列示的内容。</w:t>
      </w:r>
      <w:bookmarkStart w:id="0" w:name="_Toc3385884"/>
      <w:bookmarkStart w:id="1" w:name="_Toc2778964"/>
      <w:bookmarkStart w:id="2" w:name="_Toc10395344"/>
      <w:bookmarkStart w:id="3" w:name="_Toc13148344"/>
      <w:r w:rsidR="009A61F0">
        <w:rPr>
          <w:rFonts w:hint="eastAsia"/>
          <w:sz w:val="24"/>
        </w:rPr>
        <w:t>由于条件所限，《指引</w:t>
      </w:r>
      <w:r w:rsidR="009A61F0">
        <w:rPr>
          <w:rFonts w:hint="eastAsia"/>
          <w:sz w:val="24"/>
        </w:rPr>
        <w:t>2019</w:t>
      </w:r>
      <w:r w:rsidR="009A61F0">
        <w:rPr>
          <w:rFonts w:hint="eastAsia"/>
          <w:sz w:val="24"/>
        </w:rPr>
        <w:t>》暂未对地方国有企业等</w:t>
      </w:r>
      <w:r w:rsidR="00011F4D">
        <w:rPr>
          <w:rFonts w:hint="eastAsia"/>
          <w:sz w:val="24"/>
        </w:rPr>
        <w:t>需求方</w:t>
      </w:r>
      <w:r w:rsidR="009A61F0">
        <w:rPr>
          <w:rFonts w:hint="eastAsia"/>
          <w:sz w:val="24"/>
        </w:rPr>
        <w:t>触发资产评估行业业务的经济行为</w:t>
      </w:r>
      <w:r w:rsidR="00011F4D">
        <w:rPr>
          <w:rFonts w:hint="eastAsia"/>
          <w:sz w:val="24"/>
        </w:rPr>
        <w:t>及有关</w:t>
      </w:r>
      <w:r w:rsidR="009A61F0">
        <w:rPr>
          <w:rFonts w:hint="eastAsia"/>
          <w:sz w:val="24"/>
        </w:rPr>
        <w:t>政策文件依据</w:t>
      </w:r>
      <w:r w:rsidR="00011F4D">
        <w:rPr>
          <w:rFonts w:hint="eastAsia"/>
          <w:sz w:val="24"/>
        </w:rPr>
        <w:t>作</w:t>
      </w:r>
      <w:r w:rsidR="009A61F0">
        <w:rPr>
          <w:rFonts w:hint="eastAsia"/>
          <w:sz w:val="24"/>
        </w:rPr>
        <w:t>进一步梳理。</w:t>
      </w:r>
      <w:r w:rsidR="009B4991" w:rsidRPr="000D03B4">
        <w:rPr>
          <w:rFonts w:eastAsia="黑体"/>
          <w:sz w:val="28"/>
          <w:szCs w:val="28"/>
        </w:rPr>
        <w:br w:type="page"/>
      </w:r>
    </w:p>
    <w:p w14:paraId="244F68CB" w14:textId="6A1C65EF" w:rsidR="00506AE0" w:rsidRPr="000D03B4" w:rsidRDefault="00B10991" w:rsidP="009B4991">
      <w:pPr>
        <w:spacing w:line="276" w:lineRule="auto"/>
        <w:jc w:val="center"/>
        <w:rPr>
          <w:rFonts w:eastAsia="黑体"/>
          <w:sz w:val="28"/>
          <w:szCs w:val="28"/>
        </w:rPr>
      </w:pPr>
      <w:r w:rsidRPr="000D03B4">
        <w:rPr>
          <w:rFonts w:eastAsia="黑体"/>
          <w:sz w:val="28"/>
          <w:szCs w:val="28"/>
        </w:rPr>
        <w:lastRenderedPageBreak/>
        <w:t>第二章</w:t>
      </w:r>
      <w:r w:rsidRPr="000D03B4">
        <w:rPr>
          <w:rFonts w:eastAsia="黑体"/>
          <w:sz w:val="28"/>
          <w:szCs w:val="28"/>
        </w:rPr>
        <w:t xml:space="preserve"> </w:t>
      </w:r>
      <w:r w:rsidR="00122127" w:rsidRPr="000D03B4">
        <w:rPr>
          <w:rFonts w:eastAsia="黑体"/>
          <w:sz w:val="28"/>
          <w:szCs w:val="28"/>
        </w:rPr>
        <w:t>资产评估</w:t>
      </w:r>
      <w:r w:rsidR="00F00C1D" w:rsidRPr="000D03B4">
        <w:rPr>
          <w:rFonts w:eastAsia="黑体"/>
          <w:sz w:val="28"/>
          <w:szCs w:val="28"/>
        </w:rPr>
        <w:t>行业新增</w:t>
      </w:r>
      <w:r w:rsidR="00122127" w:rsidRPr="000D03B4">
        <w:rPr>
          <w:rFonts w:eastAsia="黑体"/>
          <w:sz w:val="28"/>
          <w:szCs w:val="28"/>
        </w:rPr>
        <w:t>业务</w:t>
      </w:r>
      <w:bookmarkEnd w:id="0"/>
      <w:bookmarkEnd w:id="1"/>
      <w:bookmarkEnd w:id="2"/>
      <w:bookmarkEnd w:id="3"/>
      <w:r w:rsidR="00F00C1D" w:rsidRPr="000D03B4">
        <w:rPr>
          <w:rFonts w:eastAsia="黑体"/>
          <w:sz w:val="28"/>
          <w:szCs w:val="28"/>
        </w:rPr>
        <w:t>情况</w:t>
      </w:r>
    </w:p>
    <w:p w14:paraId="1574093E" w14:textId="688CE193" w:rsidR="00506AE0" w:rsidRPr="000D03B4" w:rsidRDefault="00122127" w:rsidP="009B4991">
      <w:pPr>
        <w:adjustRightInd w:val="0"/>
        <w:snapToGrid w:val="0"/>
        <w:spacing w:line="276" w:lineRule="auto"/>
        <w:ind w:firstLineChars="200" w:firstLine="480"/>
        <w:rPr>
          <w:sz w:val="24"/>
        </w:rPr>
      </w:pPr>
      <w:r w:rsidRPr="000D03B4">
        <w:rPr>
          <w:sz w:val="24"/>
        </w:rPr>
        <w:t>针对</w:t>
      </w:r>
      <w:r w:rsidRPr="000D03B4">
        <w:rPr>
          <w:sz w:val="24"/>
        </w:rPr>
        <w:t>2013</w:t>
      </w:r>
      <w:r w:rsidRPr="000D03B4">
        <w:rPr>
          <w:sz w:val="24"/>
        </w:rPr>
        <w:t>年</w:t>
      </w:r>
      <w:r w:rsidRPr="000D03B4">
        <w:rPr>
          <w:sz w:val="24"/>
        </w:rPr>
        <w:t>11</w:t>
      </w:r>
      <w:r w:rsidRPr="000D03B4">
        <w:rPr>
          <w:sz w:val="24"/>
        </w:rPr>
        <w:t>月</w:t>
      </w:r>
      <w:r w:rsidR="00E671D3">
        <w:rPr>
          <w:rFonts w:hint="eastAsia"/>
          <w:sz w:val="24"/>
        </w:rPr>
        <w:t>以来</w:t>
      </w:r>
      <w:r w:rsidRPr="000D03B4">
        <w:rPr>
          <w:sz w:val="24"/>
        </w:rPr>
        <w:t>发布的相关</w:t>
      </w:r>
      <w:r w:rsidR="00F36E89" w:rsidRPr="000D03B4">
        <w:rPr>
          <w:sz w:val="24"/>
        </w:rPr>
        <w:t>政策文件</w:t>
      </w:r>
      <w:r w:rsidR="00F67C19" w:rsidRPr="000D03B4">
        <w:rPr>
          <w:sz w:val="24"/>
        </w:rPr>
        <w:t>，</w:t>
      </w:r>
      <w:r w:rsidR="00F36E89" w:rsidRPr="000D03B4">
        <w:rPr>
          <w:sz w:val="24"/>
        </w:rPr>
        <w:t>《指引</w:t>
      </w:r>
      <w:r w:rsidR="00F36E89" w:rsidRPr="000D03B4">
        <w:rPr>
          <w:sz w:val="24"/>
        </w:rPr>
        <w:t>2019</w:t>
      </w:r>
      <w:r w:rsidR="00F36E89" w:rsidRPr="000D03B4">
        <w:rPr>
          <w:sz w:val="24"/>
        </w:rPr>
        <w:t>》</w:t>
      </w:r>
      <w:r w:rsidRPr="000D03B4">
        <w:rPr>
          <w:sz w:val="24"/>
        </w:rPr>
        <w:t>收集、分析、整理并归集出包括但不</w:t>
      </w:r>
      <w:r w:rsidR="00245A1F" w:rsidRPr="000D03B4">
        <w:rPr>
          <w:sz w:val="24"/>
        </w:rPr>
        <w:t>仅</w:t>
      </w:r>
      <w:r w:rsidR="00DF277E" w:rsidRPr="000D03B4">
        <w:rPr>
          <w:sz w:val="24"/>
        </w:rPr>
        <w:t>限于以下列示的业务</w:t>
      </w:r>
      <w:r w:rsidRPr="000D03B4">
        <w:rPr>
          <w:sz w:val="24"/>
        </w:rPr>
        <w:t>类型（</w:t>
      </w:r>
      <w:r w:rsidR="00F36E89" w:rsidRPr="000D03B4">
        <w:rPr>
          <w:sz w:val="24"/>
        </w:rPr>
        <w:t>《资产评估</w:t>
      </w:r>
      <w:r w:rsidR="00174845" w:rsidRPr="000D03B4">
        <w:rPr>
          <w:sz w:val="24"/>
        </w:rPr>
        <w:t>行业</w:t>
      </w:r>
      <w:r w:rsidR="00F36E89" w:rsidRPr="000D03B4">
        <w:rPr>
          <w:sz w:val="24"/>
        </w:rPr>
        <w:t>业务一览表》中</w:t>
      </w:r>
      <w:r w:rsidRPr="000D03B4">
        <w:rPr>
          <w:sz w:val="24"/>
        </w:rPr>
        <w:t>序号前标记</w:t>
      </w:r>
      <w:r w:rsidRPr="000D03B4">
        <w:rPr>
          <w:sz w:val="24"/>
        </w:rPr>
        <w:t>“N”</w:t>
      </w:r>
      <w:r w:rsidRPr="000D03B4">
        <w:rPr>
          <w:sz w:val="24"/>
        </w:rPr>
        <w:t>），主要涉及深化国有企业改革、</w:t>
      </w:r>
      <w:r w:rsidR="000A57B2">
        <w:rPr>
          <w:rFonts w:hint="eastAsia"/>
          <w:sz w:val="24"/>
        </w:rPr>
        <w:t>加强金融监管</w:t>
      </w:r>
      <w:r w:rsidRPr="000D03B4">
        <w:rPr>
          <w:sz w:val="24"/>
        </w:rPr>
        <w:t>、</w:t>
      </w:r>
      <w:r w:rsidR="000A57B2">
        <w:rPr>
          <w:rFonts w:hint="eastAsia"/>
          <w:sz w:val="24"/>
        </w:rPr>
        <w:t>加强</w:t>
      </w:r>
      <w:r w:rsidR="000A57B2">
        <w:rPr>
          <w:sz w:val="24"/>
        </w:rPr>
        <w:t>行政事业单位</w:t>
      </w:r>
      <w:r w:rsidR="000A57B2">
        <w:rPr>
          <w:rFonts w:hint="eastAsia"/>
          <w:sz w:val="24"/>
        </w:rPr>
        <w:t>国有资产管理</w:t>
      </w:r>
      <w:r w:rsidR="00245A1F" w:rsidRPr="000D03B4">
        <w:rPr>
          <w:sz w:val="24"/>
        </w:rPr>
        <w:t>，以及</w:t>
      </w:r>
      <w:r w:rsidRPr="000D03B4">
        <w:rPr>
          <w:sz w:val="24"/>
        </w:rPr>
        <w:t>新经济发展等方面。</w:t>
      </w:r>
    </w:p>
    <w:p w14:paraId="1F934CAB" w14:textId="62AE97EE" w:rsidR="00506AE0" w:rsidRPr="000D03B4" w:rsidRDefault="009F7A3A" w:rsidP="009B4991">
      <w:pPr>
        <w:adjustRightInd w:val="0"/>
        <w:snapToGrid w:val="0"/>
        <w:spacing w:line="276" w:lineRule="auto"/>
        <w:ind w:firstLineChars="200" w:firstLine="480"/>
        <w:rPr>
          <w:rFonts w:eastAsia="黑体"/>
          <w:sz w:val="24"/>
        </w:rPr>
      </w:pPr>
      <w:bookmarkStart w:id="4" w:name="_Toc2778965"/>
      <w:bookmarkStart w:id="5" w:name="_Toc3385885"/>
      <w:bookmarkStart w:id="6" w:name="_Toc10395345"/>
      <w:bookmarkStart w:id="7" w:name="_Toc13148345"/>
      <w:r w:rsidRPr="000D03B4">
        <w:rPr>
          <w:rFonts w:eastAsia="黑体"/>
          <w:sz w:val="24"/>
        </w:rPr>
        <w:t>一、</w:t>
      </w:r>
      <w:r w:rsidR="00122127" w:rsidRPr="000D03B4">
        <w:rPr>
          <w:rFonts w:eastAsia="黑体"/>
          <w:sz w:val="24"/>
        </w:rPr>
        <w:t>深化国有企业改革</w:t>
      </w:r>
      <w:r w:rsidR="00F36E89" w:rsidRPr="000D03B4">
        <w:rPr>
          <w:rFonts w:eastAsia="黑体"/>
          <w:sz w:val="24"/>
        </w:rPr>
        <w:t>产生</w:t>
      </w:r>
      <w:r w:rsidR="00122127" w:rsidRPr="000D03B4">
        <w:rPr>
          <w:rFonts w:eastAsia="黑体"/>
          <w:sz w:val="24"/>
        </w:rPr>
        <w:t>的</w:t>
      </w:r>
      <w:r w:rsidR="00DF277E" w:rsidRPr="000D03B4">
        <w:rPr>
          <w:rFonts w:eastAsia="黑体"/>
          <w:sz w:val="24"/>
        </w:rPr>
        <w:t>业务</w:t>
      </w:r>
      <w:bookmarkEnd w:id="4"/>
      <w:bookmarkEnd w:id="5"/>
      <w:bookmarkEnd w:id="6"/>
      <w:bookmarkEnd w:id="7"/>
    </w:p>
    <w:p w14:paraId="70F0F7FC" w14:textId="16E330E8" w:rsidR="00506AE0" w:rsidRPr="000D03B4" w:rsidRDefault="00122127" w:rsidP="009B4991">
      <w:pPr>
        <w:adjustRightInd w:val="0"/>
        <w:snapToGrid w:val="0"/>
        <w:spacing w:line="276" w:lineRule="auto"/>
        <w:ind w:firstLineChars="200" w:firstLine="480"/>
        <w:rPr>
          <w:sz w:val="24"/>
        </w:rPr>
      </w:pPr>
      <w:r w:rsidRPr="000D03B4">
        <w:rPr>
          <w:sz w:val="24"/>
        </w:rPr>
        <w:t>党的十九大报告中强调，</w:t>
      </w:r>
      <w:r w:rsidRPr="000D03B4">
        <w:rPr>
          <w:sz w:val="24"/>
        </w:rPr>
        <w:t>“</w:t>
      </w:r>
      <w:r w:rsidRPr="000D03B4">
        <w:rPr>
          <w:sz w:val="24"/>
        </w:rPr>
        <w:t>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w:t>
      </w:r>
      <w:r w:rsidRPr="000D03B4">
        <w:rPr>
          <w:sz w:val="24"/>
        </w:rPr>
        <w:t>”</w:t>
      </w:r>
      <w:r w:rsidRPr="000D03B4">
        <w:rPr>
          <w:sz w:val="24"/>
        </w:rPr>
        <w:t>。</w:t>
      </w:r>
      <w:r w:rsidR="00F36E89" w:rsidRPr="000D03B4">
        <w:rPr>
          <w:sz w:val="24"/>
        </w:rPr>
        <w:t>在</w:t>
      </w:r>
      <w:r w:rsidRPr="000D03B4">
        <w:rPr>
          <w:sz w:val="24"/>
        </w:rPr>
        <w:t>发展混合所有制经济、优化国有经济布局和结构调整</w:t>
      </w:r>
      <w:r w:rsidR="00F36E89" w:rsidRPr="000D03B4">
        <w:rPr>
          <w:sz w:val="24"/>
        </w:rPr>
        <w:t>过程中</w:t>
      </w:r>
      <w:r w:rsidRPr="000D03B4">
        <w:rPr>
          <w:sz w:val="24"/>
        </w:rPr>
        <w:t>，出现了中央企业股权投资、国有控股混合所有制企业股权激励、</w:t>
      </w:r>
      <w:r w:rsidRPr="000D03B4">
        <w:rPr>
          <w:sz w:val="24"/>
        </w:rPr>
        <w:t>“</w:t>
      </w:r>
      <w:r w:rsidRPr="000D03B4">
        <w:rPr>
          <w:sz w:val="24"/>
        </w:rPr>
        <w:t>僵尸企业</w:t>
      </w:r>
      <w:r w:rsidRPr="000D03B4">
        <w:rPr>
          <w:sz w:val="24"/>
        </w:rPr>
        <w:t>”</w:t>
      </w:r>
      <w:r w:rsidR="00DF277E" w:rsidRPr="000D03B4">
        <w:rPr>
          <w:sz w:val="24"/>
        </w:rPr>
        <w:t>处置、国有企业办教育医疗机构改革等经济行为，并带来了相关业务</w:t>
      </w:r>
      <w:r w:rsidRPr="000D03B4">
        <w:rPr>
          <w:sz w:val="24"/>
        </w:rPr>
        <w:t>需求。</w:t>
      </w:r>
    </w:p>
    <w:p w14:paraId="676683C4" w14:textId="5BA5FCF1" w:rsidR="00506AE0" w:rsidRPr="000D03B4" w:rsidRDefault="009F7A3A" w:rsidP="009B4991">
      <w:pPr>
        <w:adjustRightInd w:val="0"/>
        <w:snapToGrid w:val="0"/>
        <w:spacing w:line="276" w:lineRule="auto"/>
        <w:ind w:firstLineChars="200" w:firstLine="480"/>
        <w:rPr>
          <w:rFonts w:eastAsia="黑体"/>
          <w:sz w:val="24"/>
        </w:rPr>
      </w:pPr>
      <w:bookmarkStart w:id="8" w:name="_Toc2778966"/>
      <w:bookmarkStart w:id="9" w:name="_Toc3385886"/>
      <w:bookmarkStart w:id="10" w:name="_Toc10395346"/>
      <w:bookmarkStart w:id="11" w:name="_Toc13148346"/>
      <w:r w:rsidRPr="000D03B4">
        <w:rPr>
          <w:rFonts w:eastAsia="黑体"/>
          <w:sz w:val="24"/>
        </w:rPr>
        <w:t>二、</w:t>
      </w:r>
      <w:r w:rsidR="00B952FB">
        <w:rPr>
          <w:rFonts w:eastAsia="黑体" w:hint="eastAsia"/>
          <w:sz w:val="24"/>
        </w:rPr>
        <w:t>加强金融监管</w:t>
      </w:r>
      <w:r w:rsidR="004B60BE" w:rsidRPr="000D03B4">
        <w:rPr>
          <w:rFonts w:eastAsia="黑体"/>
          <w:sz w:val="24"/>
        </w:rPr>
        <w:t>产生</w:t>
      </w:r>
      <w:r w:rsidR="00122127" w:rsidRPr="000D03B4">
        <w:rPr>
          <w:rFonts w:eastAsia="黑体"/>
          <w:sz w:val="24"/>
        </w:rPr>
        <w:t>的</w:t>
      </w:r>
      <w:r w:rsidR="00DF277E" w:rsidRPr="000D03B4">
        <w:rPr>
          <w:rFonts w:eastAsia="黑体"/>
          <w:sz w:val="24"/>
        </w:rPr>
        <w:t>业务</w:t>
      </w:r>
      <w:bookmarkEnd w:id="8"/>
      <w:bookmarkEnd w:id="9"/>
      <w:bookmarkEnd w:id="10"/>
      <w:bookmarkEnd w:id="11"/>
    </w:p>
    <w:p w14:paraId="42D97E39" w14:textId="00006E90" w:rsidR="00506AE0" w:rsidRPr="000D03B4" w:rsidRDefault="00122127" w:rsidP="009B4991">
      <w:pPr>
        <w:adjustRightInd w:val="0"/>
        <w:snapToGrid w:val="0"/>
        <w:spacing w:line="276" w:lineRule="auto"/>
        <w:ind w:firstLineChars="200" w:firstLine="480"/>
        <w:rPr>
          <w:sz w:val="24"/>
        </w:rPr>
      </w:pPr>
      <w:r w:rsidRPr="000D03B4">
        <w:rPr>
          <w:sz w:val="24"/>
        </w:rPr>
        <w:t>近年来国家不断加强金融企业监管，并在金融企业直接</w:t>
      </w:r>
      <w:r w:rsidR="00310D0F" w:rsidRPr="000D03B4">
        <w:rPr>
          <w:sz w:val="24"/>
        </w:rPr>
        <w:t>股权</w:t>
      </w:r>
      <w:r w:rsidRPr="000D03B4">
        <w:rPr>
          <w:sz w:val="24"/>
        </w:rPr>
        <w:t>投资和市场化</w:t>
      </w:r>
      <w:r w:rsidR="00310D0F" w:rsidRPr="000D03B4">
        <w:rPr>
          <w:sz w:val="24"/>
        </w:rPr>
        <w:t>银行债权转股权</w:t>
      </w:r>
      <w:r w:rsidRPr="000D03B4">
        <w:rPr>
          <w:sz w:val="24"/>
        </w:rPr>
        <w:t>等方面相继出台了一系列举措，为资产评估行业拓展市场</w:t>
      </w:r>
      <w:r w:rsidR="00245A1F" w:rsidRPr="000D03B4">
        <w:rPr>
          <w:sz w:val="24"/>
        </w:rPr>
        <w:t>带来</w:t>
      </w:r>
      <w:r w:rsidRPr="000D03B4">
        <w:rPr>
          <w:sz w:val="24"/>
        </w:rPr>
        <w:t>了机遇。《关于进一步明确国有金融企业直接股权投资有关资产管理问题的通知》（财金〔</w:t>
      </w:r>
      <w:r w:rsidRPr="000D03B4">
        <w:rPr>
          <w:sz w:val="24"/>
        </w:rPr>
        <w:t>2014</w:t>
      </w:r>
      <w:r w:rsidRPr="000D03B4">
        <w:rPr>
          <w:sz w:val="24"/>
        </w:rPr>
        <w:t>〕</w:t>
      </w:r>
      <w:r w:rsidRPr="000D03B4">
        <w:rPr>
          <w:sz w:val="24"/>
        </w:rPr>
        <w:t>31</w:t>
      </w:r>
      <w:r w:rsidRPr="000D03B4">
        <w:rPr>
          <w:sz w:val="24"/>
        </w:rPr>
        <w:t>号）中要求国有金融企业开展直接股权投资</w:t>
      </w:r>
      <w:r w:rsidR="00F577B8" w:rsidRPr="000D03B4">
        <w:rPr>
          <w:sz w:val="24"/>
        </w:rPr>
        <w:t>时</w:t>
      </w:r>
      <w:r w:rsidRPr="000D03B4">
        <w:rPr>
          <w:sz w:val="24"/>
        </w:rPr>
        <w:t>，应当对拟投资企业的投资价值进行评估。《关于市场化银行债权转股权实施中有关具体政策问题的通知》（发改财金〔</w:t>
      </w:r>
      <w:r w:rsidRPr="000D03B4">
        <w:rPr>
          <w:sz w:val="24"/>
        </w:rPr>
        <w:t>2018</w:t>
      </w:r>
      <w:r w:rsidRPr="000D03B4">
        <w:rPr>
          <w:sz w:val="24"/>
        </w:rPr>
        <w:t>〕</w:t>
      </w:r>
      <w:r w:rsidRPr="000D03B4">
        <w:rPr>
          <w:sz w:val="24"/>
        </w:rPr>
        <w:t>152</w:t>
      </w:r>
      <w:r w:rsidRPr="000D03B4">
        <w:rPr>
          <w:sz w:val="24"/>
        </w:rPr>
        <w:t>号）中</w:t>
      </w:r>
      <w:r w:rsidR="00F577B8" w:rsidRPr="000D03B4">
        <w:rPr>
          <w:sz w:val="24"/>
        </w:rPr>
        <w:t>对市场化银行债权转股权作了有关</w:t>
      </w:r>
      <w:r w:rsidRPr="000D03B4">
        <w:rPr>
          <w:sz w:val="24"/>
        </w:rPr>
        <w:t>规定。</w:t>
      </w:r>
      <w:r w:rsidR="00DE0457" w:rsidRPr="000D03B4">
        <w:rPr>
          <w:sz w:val="24"/>
        </w:rPr>
        <w:t>《金融资产投资公司管理办法（试行）》（银保监会令〔</w:t>
      </w:r>
      <w:r w:rsidR="00DE0457" w:rsidRPr="000D03B4">
        <w:rPr>
          <w:sz w:val="24"/>
        </w:rPr>
        <w:t>2018</w:t>
      </w:r>
      <w:r w:rsidR="00DE0457" w:rsidRPr="000D03B4">
        <w:rPr>
          <w:sz w:val="24"/>
        </w:rPr>
        <w:t>〕</w:t>
      </w:r>
      <w:r w:rsidR="00DE0457" w:rsidRPr="000D03B4">
        <w:rPr>
          <w:sz w:val="24"/>
        </w:rPr>
        <w:t>4</w:t>
      </w:r>
      <w:r w:rsidR="00DE0457" w:rsidRPr="000D03B4">
        <w:rPr>
          <w:sz w:val="24"/>
        </w:rPr>
        <w:t>号）</w:t>
      </w:r>
      <w:r w:rsidR="000813C0" w:rsidRPr="000D03B4">
        <w:rPr>
          <w:sz w:val="24"/>
        </w:rPr>
        <w:t>规定银行债权评估或估值可以由独立第三方实施。</w:t>
      </w:r>
    </w:p>
    <w:p w14:paraId="2CCC3929" w14:textId="478B6C51" w:rsidR="00506AE0" w:rsidRPr="000D03B4" w:rsidRDefault="009F7A3A" w:rsidP="009B4991">
      <w:pPr>
        <w:adjustRightInd w:val="0"/>
        <w:snapToGrid w:val="0"/>
        <w:spacing w:line="276" w:lineRule="auto"/>
        <w:ind w:firstLineChars="200" w:firstLine="480"/>
        <w:rPr>
          <w:rFonts w:eastAsia="黑体"/>
          <w:sz w:val="24"/>
        </w:rPr>
      </w:pPr>
      <w:bookmarkStart w:id="12" w:name="_Toc2778967"/>
      <w:bookmarkStart w:id="13" w:name="_Toc3385887"/>
      <w:bookmarkStart w:id="14" w:name="_Toc10395349"/>
      <w:bookmarkStart w:id="15" w:name="_Toc13148347"/>
      <w:r w:rsidRPr="000D03B4">
        <w:rPr>
          <w:rFonts w:eastAsia="黑体"/>
          <w:sz w:val="24"/>
        </w:rPr>
        <w:t>三、</w:t>
      </w:r>
      <w:r w:rsidR="00B84628" w:rsidRPr="000D03B4">
        <w:rPr>
          <w:rFonts w:eastAsia="黑体"/>
          <w:sz w:val="24"/>
        </w:rPr>
        <w:t>加强行政事业单位</w:t>
      </w:r>
      <w:r w:rsidR="00F67C19" w:rsidRPr="000D03B4">
        <w:rPr>
          <w:rFonts w:eastAsia="黑体"/>
          <w:sz w:val="24"/>
        </w:rPr>
        <w:t>资产管理产生</w:t>
      </w:r>
      <w:r w:rsidR="00122127" w:rsidRPr="000D03B4">
        <w:rPr>
          <w:rFonts w:eastAsia="黑体"/>
          <w:sz w:val="24"/>
        </w:rPr>
        <w:t>的</w:t>
      </w:r>
      <w:r w:rsidR="00DF277E" w:rsidRPr="000D03B4">
        <w:rPr>
          <w:rFonts w:eastAsia="黑体"/>
          <w:sz w:val="24"/>
        </w:rPr>
        <w:t>业务</w:t>
      </w:r>
      <w:bookmarkEnd w:id="12"/>
      <w:bookmarkEnd w:id="13"/>
      <w:bookmarkEnd w:id="14"/>
      <w:bookmarkEnd w:id="15"/>
    </w:p>
    <w:p w14:paraId="31B99550" w14:textId="4B52267A" w:rsidR="00506AE0" w:rsidRPr="000D03B4" w:rsidRDefault="001238D1" w:rsidP="001238D1">
      <w:pPr>
        <w:adjustRightInd w:val="0"/>
        <w:snapToGrid w:val="0"/>
        <w:spacing w:line="276" w:lineRule="auto"/>
        <w:ind w:firstLineChars="200" w:firstLine="480"/>
        <w:rPr>
          <w:sz w:val="24"/>
        </w:rPr>
      </w:pPr>
      <w:r w:rsidRPr="000D03B4">
        <w:rPr>
          <w:sz w:val="24"/>
        </w:rPr>
        <w:t>为扎实推进事业单位改革，提高国有资本运营效率，</w:t>
      </w:r>
      <w:r w:rsidR="00F90D3C" w:rsidRPr="000D03B4">
        <w:rPr>
          <w:sz w:val="24"/>
        </w:rPr>
        <w:t>有关</w:t>
      </w:r>
      <w:r w:rsidR="00B952FB">
        <w:rPr>
          <w:rFonts w:hint="eastAsia"/>
          <w:sz w:val="24"/>
        </w:rPr>
        <w:t>政府部门</w:t>
      </w:r>
      <w:r w:rsidR="00F90D3C" w:rsidRPr="000D03B4">
        <w:rPr>
          <w:sz w:val="24"/>
        </w:rPr>
        <w:t>对行政事业单位资产管理中的资产评估</w:t>
      </w:r>
      <w:r w:rsidR="00546257" w:rsidRPr="000D03B4">
        <w:rPr>
          <w:sz w:val="24"/>
        </w:rPr>
        <w:t>事项</w:t>
      </w:r>
      <w:proofErr w:type="gramStart"/>
      <w:r w:rsidR="00F90D3C" w:rsidRPr="000D03B4">
        <w:rPr>
          <w:sz w:val="24"/>
        </w:rPr>
        <w:t>作出</w:t>
      </w:r>
      <w:proofErr w:type="gramEnd"/>
      <w:r w:rsidR="00F90D3C" w:rsidRPr="000D03B4">
        <w:rPr>
          <w:sz w:val="24"/>
        </w:rPr>
        <w:t>了</w:t>
      </w:r>
      <w:r w:rsidR="00C1006B">
        <w:rPr>
          <w:rFonts w:hint="eastAsia"/>
          <w:sz w:val="24"/>
        </w:rPr>
        <w:t>进一步</w:t>
      </w:r>
      <w:r w:rsidR="00F90D3C" w:rsidRPr="000D03B4">
        <w:rPr>
          <w:sz w:val="24"/>
        </w:rPr>
        <w:t>规定。</w:t>
      </w:r>
      <w:r w:rsidR="00C1006B">
        <w:rPr>
          <w:rFonts w:hint="eastAsia"/>
          <w:sz w:val="24"/>
        </w:rPr>
        <w:t>如</w:t>
      </w:r>
      <w:r w:rsidR="00122127" w:rsidRPr="000D03B4">
        <w:rPr>
          <w:sz w:val="24"/>
        </w:rPr>
        <w:t>《关于从事生产经营活动事业单位改革中国有资产管理的若干规定》（财资〔</w:t>
      </w:r>
      <w:r w:rsidR="00122127" w:rsidRPr="000D03B4">
        <w:rPr>
          <w:sz w:val="24"/>
        </w:rPr>
        <w:t>2017</w:t>
      </w:r>
      <w:r w:rsidR="00122127" w:rsidRPr="000D03B4">
        <w:rPr>
          <w:sz w:val="24"/>
        </w:rPr>
        <w:t>〕</w:t>
      </w:r>
      <w:r w:rsidR="00122127" w:rsidRPr="000D03B4">
        <w:rPr>
          <w:sz w:val="24"/>
        </w:rPr>
        <w:t>13</w:t>
      </w:r>
      <w:r w:rsidR="00122127" w:rsidRPr="000D03B4">
        <w:rPr>
          <w:sz w:val="24"/>
        </w:rPr>
        <w:t>号）</w:t>
      </w:r>
      <w:r w:rsidR="007633EE" w:rsidRPr="000D03B4">
        <w:rPr>
          <w:sz w:val="24"/>
        </w:rPr>
        <w:t>规定，经营类事业单位整体或部分改制为有限责任公司或者股份有限公司及进行产权转让、国有资产流转等，要按照有关规定进行资产评估</w:t>
      </w:r>
      <w:r w:rsidR="00122127" w:rsidRPr="000D03B4">
        <w:rPr>
          <w:sz w:val="24"/>
        </w:rPr>
        <w:t>。</w:t>
      </w:r>
    </w:p>
    <w:p w14:paraId="37A1F97A" w14:textId="4AC73598" w:rsidR="00506AE0" w:rsidRPr="000D03B4" w:rsidRDefault="009F7A3A" w:rsidP="009B4991">
      <w:pPr>
        <w:adjustRightInd w:val="0"/>
        <w:snapToGrid w:val="0"/>
        <w:spacing w:line="276" w:lineRule="auto"/>
        <w:ind w:firstLineChars="200" w:firstLine="480"/>
        <w:rPr>
          <w:rFonts w:eastAsia="黑体"/>
          <w:sz w:val="24"/>
        </w:rPr>
      </w:pPr>
      <w:bookmarkStart w:id="16" w:name="_Toc2778968"/>
      <w:bookmarkStart w:id="17" w:name="_Toc3385888"/>
      <w:bookmarkStart w:id="18" w:name="_Toc10395350"/>
      <w:bookmarkStart w:id="19" w:name="_Toc13148348"/>
      <w:r w:rsidRPr="000D03B4">
        <w:rPr>
          <w:rFonts w:eastAsia="黑体"/>
          <w:sz w:val="24"/>
        </w:rPr>
        <w:t>四、</w:t>
      </w:r>
      <w:r w:rsidR="00122127" w:rsidRPr="000D03B4">
        <w:rPr>
          <w:rFonts w:eastAsia="黑体"/>
          <w:sz w:val="24"/>
        </w:rPr>
        <w:t>其他新增</w:t>
      </w:r>
      <w:r w:rsidR="00DF277E" w:rsidRPr="000D03B4">
        <w:rPr>
          <w:rFonts w:eastAsia="黑体"/>
          <w:sz w:val="24"/>
        </w:rPr>
        <w:t>业务</w:t>
      </w:r>
      <w:bookmarkEnd w:id="16"/>
      <w:bookmarkEnd w:id="17"/>
      <w:bookmarkEnd w:id="18"/>
      <w:bookmarkEnd w:id="19"/>
    </w:p>
    <w:p w14:paraId="00F5CE55" w14:textId="4F58FCE8" w:rsidR="00357113" w:rsidRPr="000D03B4" w:rsidRDefault="00122127" w:rsidP="009B4991">
      <w:pPr>
        <w:adjustRightInd w:val="0"/>
        <w:snapToGrid w:val="0"/>
        <w:spacing w:line="276" w:lineRule="auto"/>
        <w:ind w:firstLineChars="200" w:firstLine="480"/>
        <w:rPr>
          <w:sz w:val="24"/>
        </w:rPr>
      </w:pPr>
      <w:r w:rsidRPr="000D03B4">
        <w:rPr>
          <w:sz w:val="24"/>
        </w:rPr>
        <w:t>其他新增</w:t>
      </w:r>
      <w:r w:rsidR="00DF277E" w:rsidRPr="000D03B4">
        <w:rPr>
          <w:sz w:val="24"/>
        </w:rPr>
        <w:t>业务</w:t>
      </w:r>
      <w:r w:rsidRPr="000D03B4">
        <w:rPr>
          <w:sz w:val="24"/>
        </w:rPr>
        <w:t>主要包括根据商务部、证监会、税务总局、工商总局、外汇管理局等部门发布的有关文件产生的</w:t>
      </w:r>
      <w:r w:rsidR="00DF277E" w:rsidRPr="000D03B4">
        <w:rPr>
          <w:sz w:val="24"/>
        </w:rPr>
        <w:t>业务</w:t>
      </w:r>
      <w:r w:rsidRPr="000D03B4">
        <w:rPr>
          <w:sz w:val="24"/>
        </w:rPr>
        <w:t>。如：为了加强行业协会商会与行政机关脱钩过程中以及脱钩后的国有资产（包括无形资产）管理，《关于加强行业协会商会与行政机关脱钩有关国有资产管理的意见（试行）》（财资〔</w:t>
      </w:r>
      <w:r w:rsidRPr="000D03B4">
        <w:rPr>
          <w:sz w:val="24"/>
        </w:rPr>
        <w:t>2015</w:t>
      </w:r>
      <w:r w:rsidRPr="000D03B4">
        <w:rPr>
          <w:sz w:val="24"/>
        </w:rPr>
        <w:t>〕</w:t>
      </w:r>
      <w:r w:rsidRPr="000D03B4">
        <w:rPr>
          <w:sz w:val="24"/>
        </w:rPr>
        <w:t>44</w:t>
      </w:r>
      <w:r w:rsidR="00951A84" w:rsidRPr="000D03B4">
        <w:rPr>
          <w:sz w:val="24"/>
        </w:rPr>
        <w:t>号）</w:t>
      </w:r>
      <w:r w:rsidRPr="000D03B4">
        <w:rPr>
          <w:sz w:val="24"/>
        </w:rPr>
        <w:t>规定</w:t>
      </w:r>
      <w:r w:rsidR="006D43AD" w:rsidRPr="000D03B4">
        <w:rPr>
          <w:sz w:val="24"/>
        </w:rPr>
        <w:t>，</w:t>
      </w:r>
      <w:r w:rsidRPr="000D03B4">
        <w:rPr>
          <w:sz w:val="24"/>
        </w:rPr>
        <w:t>“</w:t>
      </w:r>
      <w:r w:rsidRPr="000D03B4">
        <w:rPr>
          <w:sz w:val="24"/>
        </w:rPr>
        <w:t>在脱钩过程中，需要进行资产评估的，应当按照《国有资产评估管理办法》（国务院令第</w:t>
      </w:r>
      <w:r w:rsidRPr="000D03B4">
        <w:rPr>
          <w:sz w:val="24"/>
        </w:rPr>
        <w:t>91</w:t>
      </w:r>
      <w:r w:rsidRPr="000D03B4">
        <w:rPr>
          <w:sz w:val="24"/>
        </w:rPr>
        <w:t>号）、《国有资产评估管理若干问题的规定》（财政部令第</w:t>
      </w:r>
      <w:r w:rsidRPr="000D03B4">
        <w:rPr>
          <w:sz w:val="24"/>
        </w:rPr>
        <w:t>14</w:t>
      </w:r>
      <w:r w:rsidRPr="000D03B4">
        <w:rPr>
          <w:sz w:val="24"/>
        </w:rPr>
        <w:t>号）等规定执行</w:t>
      </w:r>
      <w:r w:rsidRPr="000D03B4">
        <w:rPr>
          <w:sz w:val="24"/>
        </w:rPr>
        <w:t>”</w:t>
      </w:r>
      <w:r w:rsidRPr="000D03B4">
        <w:rPr>
          <w:sz w:val="24"/>
        </w:rPr>
        <w:t>；为规范和加强中国足球协会资产管理，《中国足球协会资产管理暂行办法》（财资〔</w:t>
      </w:r>
      <w:r w:rsidRPr="000D03B4">
        <w:rPr>
          <w:sz w:val="24"/>
        </w:rPr>
        <w:t>2017</w:t>
      </w:r>
      <w:r w:rsidRPr="000D03B4">
        <w:rPr>
          <w:sz w:val="24"/>
        </w:rPr>
        <w:t>〕</w:t>
      </w:r>
      <w:r w:rsidRPr="000D03B4">
        <w:rPr>
          <w:sz w:val="24"/>
        </w:rPr>
        <w:t>32</w:t>
      </w:r>
      <w:r w:rsidR="00796721" w:rsidRPr="000D03B4">
        <w:rPr>
          <w:sz w:val="24"/>
        </w:rPr>
        <w:t>号）</w:t>
      </w:r>
      <w:r w:rsidRPr="000D03B4">
        <w:rPr>
          <w:sz w:val="24"/>
        </w:rPr>
        <w:t>规定</w:t>
      </w:r>
      <w:r w:rsidR="00796721" w:rsidRPr="000D03B4">
        <w:rPr>
          <w:sz w:val="24"/>
        </w:rPr>
        <w:t>，</w:t>
      </w:r>
      <w:r w:rsidR="0044027E" w:rsidRPr="000D03B4">
        <w:rPr>
          <w:sz w:val="24"/>
        </w:rPr>
        <w:t>“</w:t>
      </w:r>
      <w:r w:rsidRPr="000D03B4">
        <w:rPr>
          <w:sz w:val="24"/>
        </w:rPr>
        <w:t>大额资产以出售与置换方式处置的，应委托具有相应专业能力的资产评估机构进行评估，并通过拍卖、招投标的方式进行</w:t>
      </w:r>
      <w:r w:rsidR="0044027E" w:rsidRPr="000D03B4">
        <w:rPr>
          <w:sz w:val="24"/>
        </w:rPr>
        <w:t>”</w:t>
      </w:r>
      <w:r w:rsidR="00796721" w:rsidRPr="000D03B4">
        <w:rPr>
          <w:sz w:val="24"/>
        </w:rPr>
        <w:t>，</w:t>
      </w:r>
      <w:r w:rsidR="00F36E89" w:rsidRPr="000D03B4">
        <w:rPr>
          <w:sz w:val="24"/>
        </w:rPr>
        <w:t>等等</w:t>
      </w:r>
      <w:r w:rsidRPr="000D03B4">
        <w:rPr>
          <w:sz w:val="24"/>
        </w:rPr>
        <w:t>。</w:t>
      </w:r>
    </w:p>
    <w:p w14:paraId="776C4730" w14:textId="77777777" w:rsidR="009B4991" w:rsidRPr="000D03B4" w:rsidRDefault="009B4991" w:rsidP="009B4991">
      <w:pPr>
        <w:adjustRightInd w:val="0"/>
        <w:snapToGrid w:val="0"/>
        <w:ind w:firstLineChars="200" w:firstLine="420"/>
      </w:pPr>
    </w:p>
    <w:p w14:paraId="1C256BF4" w14:textId="2105751C" w:rsidR="00506AE0" w:rsidRPr="000D03B4" w:rsidRDefault="00B10991" w:rsidP="009B4991">
      <w:pPr>
        <w:adjustRightInd w:val="0"/>
        <w:snapToGrid w:val="0"/>
        <w:jc w:val="center"/>
        <w:rPr>
          <w:rFonts w:eastAsia="黑体"/>
          <w:sz w:val="28"/>
          <w:szCs w:val="28"/>
        </w:rPr>
      </w:pPr>
      <w:bookmarkStart w:id="20" w:name="_Toc2778969"/>
      <w:bookmarkStart w:id="21" w:name="_Toc3385889"/>
      <w:bookmarkStart w:id="22" w:name="_Toc10395351"/>
      <w:bookmarkStart w:id="23" w:name="_Toc13148349"/>
      <w:r w:rsidRPr="000D03B4">
        <w:rPr>
          <w:rFonts w:eastAsia="黑体"/>
          <w:sz w:val="28"/>
          <w:szCs w:val="28"/>
        </w:rPr>
        <w:t>第三章</w:t>
      </w:r>
      <w:r w:rsidRPr="000D03B4">
        <w:rPr>
          <w:rFonts w:eastAsia="黑体"/>
          <w:sz w:val="28"/>
          <w:szCs w:val="28"/>
        </w:rPr>
        <w:t xml:space="preserve"> </w:t>
      </w:r>
      <w:r w:rsidR="00122127" w:rsidRPr="000D03B4">
        <w:rPr>
          <w:rFonts w:eastAsia="黑体"/>
          <w:sz w:val="28"/>
          <w:szCs w:val="28"/>
        </w:rPr>
        <w:t>资产评估</w:t>
      </w:r>
      <w:r w:rsidR="000B2957" w:rsidRPr="000D03B4">
        <w:rPr>
          <w:rFonts w:eastAsia="黑体"/>
          <w:sz w:val="28"/>
          <w:szCs w:val="28"/>
        </w:rPr>
        <w:t>行业</w:t>
      </w:r>
      <w:r w:rsidR="00122127" w:rsidRPr="000D03B4">
        <w:rPr>
          <w:rFonts w:eastAsia="黑体"/>
          <w:sz w:val="28"/>
          <w:szCs w:val="28"/>
        </w:rPr>
        <w:t>业务</w:t>
      </w:r>
      <w:r w:rsidR="000B2957" w:rsidRPr="000D03B4">
        <w:rPr>
          <w:rFonts w:eastAsia="黑体"/>
          <w:sz w:val="28"/>
          <w:szCs w:val="28"/>
        </w:rPr>
        <w:t>需求及相应经济行为分析</w:t>
      </w:r>
      <w:bookmarkEnd w:id="20"/>
      <w:bookmarkEnd w:id="21"/>
      <w:bookmarkEnd w:id="22"/>
      <w:bookmarkEnd w:id="23"/>
    </w:p>
    <w:p w14:paraId="0D685AB3" w14:textId="77777777" w:rsidR="009B4991" w:rsidRPr="000D03B4" w:rsidRDefault="009B4991" w:rsidP="009B4991">
      <w:pPr>
        <w:adjustRightInd w:val="0"/>
        <w:snapToGrid w:val="0"/>
        <w:ind w:firstLineChars="200" w:firstLine="420"/>
      </w:pPr>
    </w:p>
    <w:p w14:paraId="62AB1F5E" w14:textId="1B08162A" w:rsidR="00506AE0" w:rsidRPr="000D03B4" w:rsidRDefault="00DC4D9D" w:rsidP="009B4991">
      <w:pPr>
        <w:adjustRightInd w:val="0"/>
        <w:snapToGrid w:val="0"/>
        <w:spacing w:line="276" w:lineRule="auto"/>
        <w:ind w:firstLineChars="200" w:firstLine="480"/>
        <w:rPr>
          <w:sz w:val="24"/>
        </w:rPr>
      </w:pPr>
      <w:r w:rsidRPr="000D03B4">
        <w:rPr>
          <w:sz w:val="24"/>
        </w:rPr>
        <w:t>《指引</w:t>
      </w:r>
      <w:r w:rsidRPr="000D03B4">
        <w:rPr>
          <w:sz w:val="24"/>
        </w:rPr>
        <w:t>2019</w:t>
      </w:r>
      <w:r w:rsidRPr="000D03B4">
        <w:rPr>
          <w:sz w:val="24"/>
        </w:rPr>
        <w:t>》</w:t>
      </w:r>
      <w:r w:rsidR="00ED3905" w:rsidRPr="000D03B4">
        <w:rPr>
          <w:sz w:val="24"/>
        </w:rPr>
        <w:t>对</w:t>
      </w:r>
      <w:r w:rsidR="00996711" w:rsidRPr="000D03B4">
        <w:rPr>
          <w:sz w:val="24"/>
        </w:rPr>
        <w:t>资产评估行业业务的需求方进行了</w:t>
      </w:r>
      <w:r w:rsidR="00324175">
        <w:rPr>
          <w:rFonts w:hint="eastAsia"/>
          <w:sz w:val="24"/>
        </w:rPr>
        <w:t>梳理</w:t>
      </w:r>
      <w:r w:rsidR="00996711" w:rsidRPr="000D03B4">
        <w:rPr>
          <w:sz w:val="24"/>
        </w:rPr>
        <w:t>，并</w:t>
      </w:r>
      <w:r w:rsidR="00766BBB" w:rsidRPr="000D03B4">
        <w:rPr>
          <w:sz w:val="24"/>
        </w:rPr>
        <w:t>根据需求方的不同</w:t>
      </w:r>
      <w:r w:rsidR="00766BBB" w:rsidRPr="000D03B4">
        <w:rPr>
          <w:rFonts w:hint="eastAsia"/>
          <w:sz w:val="24"/>
        </w:rPr>
        <w:t>，</w:t>
      </w:r>
      <w:r w:rsidR="00996711" w:rsidRPr="000D03B4">
        <w:rPr>
          <w:sz w:val="24"/>
        </w:rPr>
        <w:t>对</w:t>
      </w:r>
      <w:r w:rsidR="00FE4444" w:rsidRPr="000D03B4">
        <w:rPr>
          <w:sz w:val="24"/>
        </w:rPr>
        <w:t>触发资产</w:t>
      </w:r>
      <w:r w:rsidR="00DF277E" w:rsidRPr="000D03B4">
        <w:rPr>
          <w:sz w:val="24"/>
        </w:rPr>
        <w:t>评估行业业务</w:t>
      </w:r>
      <w:r w:rsidR="00FE4444" w:rsidRPr="000D03B4">
        <w:rPr>
          <w:sz w:val="24"/>
        </w:rPr>
        <w:t>的</w:t>
      </w:r>
      <w:r w:rsidR="00122127" w:rsidRPr="000D03B4">
        <w:rPr>
          <w:sz w:val="24"/>
        </w:rPr>
        <w:t>12</w:t>
      </w:r>
      <w:r w:rsidR="009B5733" w:rsidRPr="000D03B4">
        <w:rPr>
          <w:sz w:val="24"/>
        </w:rPr>
        <w:t>6</w:t>
      </w:r>
      <w:r w:rsidR="00122127" w:rsidRPr="000D03B4">
        <w:rPr>
          <w:sz w:val="24"/>
        </w:rPr>
        <w:t>项</w:t>
      </w:r>
      <w:r w:rsidR="00ED3905" w:rsidRPr="000D03B4">
        <w:rPr>
          <w:sz w:val="24"/>
        </w:rPr>
        <w:t>经济行为</w:t>
      </w:r>
      <w:r w:rsidR="00E05F20" w:rsidRPr="000D03B4">
        <w:rPr>
          <w:sz w:val="24"/>
        </w:rPr>
        <w:t>进行</w:t>
      </w:r>
      <w:r w:rsidR="00324175">
        <w:rPr>
          <w:sz w:val="24"/>
        </w:rPr>
        <w:t>逐一</w:t>
      </w:r>
      <w:r w:rsidR="00324175">
        <w:rPr>
          <w:rFonts w:hint="eastAsia"/>
          <w:sz w:val="24"/>
        </w:rPr>
        <w:t>分析</w:t>
      </w:r>
      <w:r w:rsidR="00122127" w:rsidRPr="000D03B4">
        <w:rPr>
          <w:sz w:val="24"/>
        </w:rPr>
        <w:t>，其中：</w:t>
      </w:r>
      <w:r w:rsidR="00324175">
        <w:rPr>
          <w:sz w:val="24"/>
        </w:rPr>
        <w:t>评估类业务中涉及</w:t>
      </w:r>
      <w:r w:rsidR="00BE4563" w:rsidRPr="000D03B4">
        <w:rPr>
          <w:sz w:val="24"/>
        </w:rPr>
        <w:t>的需求</w:t>
      </w:r>
      <w:proofErr w:type="gramStart"/>
      <w:r w:rsidR="00BE4563" w:rsidRPr="000D03B4">
        <w:rPr>
          <w:sz w:val="24"/>
        </w:rPr>
        <w:t>方分为</w:t>
      </w:r>
      <w:proofErr w:type="gramEnd"/>
      <w:r w:rsidR="00A31FFD">
        <w:rPr>
          <w:rFonts w:hint="eastAsia"/>
          <w:sz w:val="24"/>
        </w:rPr>
        <w:t>8</w:t>
      </w:r>
      <w:r w:rsidR="00336595" w:rsidRPr="000D03B4">
        <w:rPr>
          <w:sz w:val="24"/>
        </w:rPr>
        <w:t>个</w:t>
      </w:r>
      <w:r w:rsidR="00BE4563" w:rsidRPr="000D03B4">
        <w:rPr>
          <w:sz w:val="24"/>
        </w:rPr>
        <w:t>类</w:t>
      </w:r>
      <w:r w:rsidR="00336595" w:rsidRPr="000D03B4">
        <w:rPr>
          <w:sz w:val="24"/>
        </w:rPr>
        <w:t>别</w:t>
      </w:r>
      <w:r w:rsidR="00122127" w:rsidRPr="000D03B4">
        <w:rPr>
          <w:sz w:val="24"/>
        </w:rPr>
        <w:t>，对应具体的经济行为</w:t>
      </w:r>
      <w:r w:rsidR="009B5733" w:rsidRPr="000D03B4">
        <w:rPr>
          <w:sz w:val="24"/>
        </w:rPr>
        <w:t>85</w:t>
      </w:r>
      <w:r w:rsidR="00122127" w:rsidRPr="000D03B4">
        <w:rPr>
          <w:sz w:val="24"/>
        </w:rPr>
        <w:t>项</w:t>
      </w:r>
      <w:r w:rsidR="00FA13C0" w:rsidRPr="000D03B4">
        <w:rPr>
          <w:sz w:val="24"/>
        </w:rPr>
        <w:t>；</w:t>
      </w:r>
      <w:r w:rsidR="00BE4563" w:rsidRPr="000D03B4">
        <w:rPr>
          <w:sz w:val="24"/>
        </w:rPr>
        <w:t>评价类业务</w:t>
      </w:r>
      <w:r w:rsidR="00D4593E" w:rsidRPr="000D03B4">
        <w:rPr>
          <w:sz w:val="24"/>
        </w:rPr>
        <w:t>中涉及的需求</w:t>
      </w:r>
      <w:proofErr w:type="gramStart"/>
      <w:r w:rsidR="00D4593E" w:rsidRPr="000D03B4">
        <w:rPr>
          <w:sz w:val="24"/>
        </w:rPr>
        <w:t>方分为</w:t>
      </w:r>
      <w:proofErr w:type="gramEnd"/>
      <w:r w:rsidR="00D4593E" w:rsidRPr="000D03B4">
        <w:rPr>
          <w:sz w:val="24"/>
        </w:rPr>
        <w:t>2</w:t>
      </w:r>
      <w:r w:rsidR="00336595" w:rsidRPr="000D03B4">
        <w:rPr>
          <w:sz w:val="24"/>
        </w:rPr>
        <w:t>个</w:t>
      </w:r>
      <w:r w:rsidR="00D4593E" w:rsidRPr="000D03B4">
        <w:rPr>
          <w:sz w:val="24"/>
        </w:rPr>
        <w:t>类</w:t>
      </w:r>
      <w:r w:rsidR="00336595" w:rsidRPr="000D03B4">
        <w:rPr>
          <w:sz w:val="24"/>
        </w:rPr>
        <w:t>别</w:t>
      </w:r>
      <w:r w:rsidR="00122127" w:rsidRPr="000D03B4">
        <w:rPr>
          <w:sz w:val="24"/>
        </w:rPr>
        <w:t>，对应具体的经济行为</w:t>
      </w:r>
      <w:r w:rsidR="00013E18" w:rsidRPr="000D03B4">
        <w:rPr>
          <w:sz w:val="24"/>
        </w:rPr>
        <w:t>12</w:t>
      </w:r>
      <w:r w:rsidR="00122127" w:rsidRPr="000D03B4">
        <w:rPr>
          <w:sz w:val="24"/>
        </w:rPr>
        <w:t>项</w:t>
      </w:r>
      <w:r w:rsidR="00FA13C0" w:rsidRPr="000D03B4">
        <w:rPr>
          <w:sz w:val="24"/>
        </w:rPr>
        <w:t>；</w:t>
      </w:r>
      <w:r w:rsidR="003418EA" w:rsidRPr="000D03B4">
        <w:rPr>
          <w:sz w:val="24"/>
        </w:rPr>
        <w:t>咨询</w:t>
      </w:r>
      <w:r w:rsidR="00140CAC" w:rsidRPr="000D03B4">
        <w:rPr>
          <w:sz w:val="24"/>
        </w:rPr>
        <w:t>类业务中</w:t>
      </w:r>
      <w:r w:rsidR="006F24B9" w:rsidRPr="000D03B4">
        <w:rPr>
          <w:sz w:val="24"/>
        </w:rPr>
        <w:t>涉及的</w:t>
      </w:r>
      <w:r w:rsidR="0061785A" w:rsidRPr="000D03B4">
        <w:rPr>
          <w:sz w:val="24"/>
        </w:rPr>
        <w:t>需求</w:t>
      </w:r>
      <w:proofErr w:type="gramStart"/>
      <w:r w:rsidR="0061785A" w:rsidRPr="000D03B4">
        <w:rPr>
          <w:sz w:val="24"/>
        </w:rPr>
        <w:t>方分为</w:t>
      </w:r>
      <w:proofErr w:type="gramEnd"/>
      <w:r w:rsidR="0061785A" w:rsidRPr="000D03B4">
        <w:rPr>
          <w:sz w:val="24"/>
        </w:rPr>
        <w:t>2</w:t>
      </w:r>
      <w:r w:rsidR="00336595" w:rsidRPr="000D03B4">
        <w:rPr>
          <w:sz w:val="24"/>
        </w:rPr>
        <w:t>个</w:t>
      </w:r>
      <w:r w:rsidR="0061785A" w:rsidRPr="000D03B4">
        <w:rPr>
          <w:sz w:val="24"/>
        </w:rPr>
        <w:t>类</w:t>
      </w:r>
      <w:r w:rsidR="00336595" w:rsidRPr="000D03B4">
        <w:rPr>
          <w:sz w:val="24"/>
        </w:rPr>
        <w:t>别</w:t>
      </w:r>
      <w:r w:rsidR="006F24B9" w:rsidRPr="000D03B4">
        <w:rPr>
          <w:sz w:val="24"/>
        </w:rPr>
        <w:t>，对应的具体经济行为</w:t>
      </w:r>
      <w:r w:rsidR="006F24B9" w:rsidRPr="000D03B4">
        <w:rPr>
          <w:sz w:val="24"/>
        </w:rPr>
        <w:t>29</w:t>
      </w:r>
      <w:r w:rsidR="006F24B9" w:rsidRPr="000D03B4">
        <w:rPr>
          <w:sz w:val="24"/>
        </w:rPr>
        <w:t>项。</w:t>
      </w:r>
      <w:r w:rsidR="000D320B" w:rsidRPr="000D03B4">
        <w:rPr>
          <w:sz w:val="24"/>
        </w:rPr>
        <w:t>资产</w:t>
      </w:r>
      <w:r w:rsidR="00122127" w:rsidRPr="000D03B4">
        <w:rPr>
          <w:sz w:val="24"/>
        </w:rPr>
        <w:t>评估</w:t>
      </w:r>
      <w:r w:rsidR="00996711" w:rsidRPr="000D03B4">
        <w:rPr>
          <w:sz w:val="24"/>
        </w:rPr>
        <w:t>行业</w:t>
      </w:r>
      <w:r w:rsidR="00122127" w:rsidRPr="000D03B4">
        <w:rPr>
          <w:sz w:val="24"/>
        </w:rPr>
        <w:t>业务类型的总体情况如表</w:t>
      </w:r>
      <w:r w:rsidR="00B84628" w:rsidRPr="000D03B4">
        <w:rPr>
          <w:sz w:val="24"/>
        </w:rPr>
        <w:t>1</w:t>
      </w:r>
      <w:r w:rsidR="0018153E" w:rsidRPr="000D03B4">
        <w:rPr>
          <w:sz w:val="24"/>
        </w:rPr>
        <w:t>所示。</w:t>
      </w:r>
    </w:p>
    <w:p w14:paraId="7DD00E6B" w14:textId="77777777" w:rsidR="007F6EC8" w:rsidRPr="000D03B4" w:rsidRDefault="007F6EC8" w:rsidP="00A745DB">
      <w:pPr>
        <w:snapToGrid w:val="0"/>
        <w:jc w:val="center"/>
        <w:rPr>
          <w:b/>
          <w:sz w:val="24"/>
          <w:szCs w:val="28"/>
        </w:rPr>
      </w:pPr>
    </w:p>
    <w:p w14:paraId="59DF4E09" w14:textId="5DE2CFD5" w:rsidR="00506AE0" w:rsidRPr="000D03B4" w:rsidRDefault="00122127" w:rsidP="00A745DB">
      <w:pPr>
        <w:snapToGrid w:val="0"/>
        <w:jc w:val="center"/>
        <w:rPr>
          <w:b/>
          <w:sz w:val="24"/>
          <w:szCs w:val="28"/>
        </w:rPr>
      </w:pPr>
      <w:r w:rsidRPr="000D03B4">
        <w:rPr>
          <w:b/>
          <w:sz w:val="24"/>
          <w:szCs w:val="28"/>
        </w:rPr>
        <w:t>表</w:t>
      </w:r>
      <w:r w:rsidRPr="000D03B4">
        <w:rPr>
          <w:b/>
          <w:sz w:val="24"/>
          <w:szCs w:val="28"/>
        </w:rPr>
        <w:t xml:space="preserve">1 </w:t>
      </w:r>
      <w:r w:rsidRPr="000D03B4">
        <w:rPr>
          <w:b/>
          <w:sz w:val="24"/>
          <w:szCs w:val="28"/>
        </w:rPr>
        <w:t>资产评估</w:t>
      </w:r>
      <w:r w:rsidR="00996711" w:rsidRPr="000D03B4">
        <w:rPr>
          <w:b/>
          <w:sz w:val="24"/>
          <w:szCs w:val="28"/>
        </w:rPr>
        <w:t>行业</w:t>
      </w:r>
      <w:r w:rsidRPr="000D03B4">
        <w:rPr>
          <w:b/>
          <w:sz w:val="24"/>
          <w:szCs w:val="28"/>
        </w:rPr>
        <w:t>业务类型汇总表</w:t>
      </w:r>
    </w:p>
    <w:tbl>
      <w:tblPr>
        <w:tblW w:w="5000" w:type="pct"/>
        <w:jc w:val="center"/>
        <w:tblLook w:val="04A0" w:firstRow="1" w:lastRow="0" w:firstColumn="1" w:lastColumn="0" w:noHBand="0" w:noVBand="1"/>
      </w:tblPr>
      <w:tblGrid>
        <w:gridCol w:w="3278"/>
        <w:gridCol w:w="2778"/>
        <w:gridCol w:w="2947"/>
      </w:tblGrid>
      <w:tr w:rsidR="000D03B4" w:rsidRPr="000D03B4" w14:paraId="3C006E75" w14:textId="77777777" w:rsidTr="00701D55">
        <w:trPr>
          <w:trHeight w:val="280"/>
          <w:jc w:val="center"/>
        </w:trPr>
        <w:tc>
          <w:tcPr>
            <w:tcW w:w="18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196E5" w14:textId="63C9862E" w:rsidR="00701D55" w:rsidRPr="000D03B4" w:rsidRDefault="008D2A3C" w:rsidP="009A2E97">
            <w:pPr>
              <w:widowControl/>
              <w:snapToGrid w:val="0"/>
              <w:jc w:val="center"/>
              <w:rPr>
                <w:b/>
                <w:kern w:val="0"/>
                <w:sz w:val="16"/>
                <w:szCs w:val="16"/>
              </w:rPr>
            </w:pPr>
            <w:r w:rsidRPr="000D03B4">
              <w:rPr>
                <w:b/>
                <w:kern w:val="0"/>
                <w:sz w:val="16"/>
                <w:szCs w:val="16"/>
              </w:rPr>
              <w:t>资产评估</w:t>
            </w:r>
            <w:r w:rsidR="00790B41" w:rsidRPr="000D03B4">
              <w:rPr>
                <w:b/>
                <w:kern w:val="0"/>
                <w:sz w:val="16"/>
                <w:szCs w:val="16"/>
              </w:rPr>
              <w:t>行业</w:t>
            </w:r>
            <w:r w:rsidRPr="000D03B4">
              <w:rPr>
                <w:b/>
                <w:kern w:val="0"/>
                <w:sz w:val="16"/>
                <w:szCs w:val="16"/>
              </w:rPr>
              <w:t>业务</w:t>
            </w:r>
            <w:r w:rsidR="00701D55" w:rsidRPr="000D03B4">
              <w:rPr>
                <w:b/>
                <w:kern w:val="0"/>
                <w:sz w:val="16"/>
                <w:szCs w:val="16"/>
              </w:rPr>
              <w:t>类型</w:t>
            </w:r>
          </w:p>
        </w:tc>
        <w:tc>
          <w:tcPr>
            <w:tcW w:w="1574" w:type="pct"/>
            <w:tcBorders>
              <w:top w:val="single" w:sz="4" w:space="0" w:color="auto"/>
              <w:left w:val="nil"/>
              <w:bottom w:val="single" w:sz="4" w:space="0" w:color="auto"/>
              <w:right w:val="single" w:sz="4" w:space="0" w:color="auto"/>
            </w:tcBorders>
            <w:shd w:val="clear" w:color="auto" w:fill="auto"/>
            <w:noWrap/>
            <w:vAlign w:val="center"/>
            <w:hideMark/>
          </w:tcPr>
          <w:p w14:paraId="2BC6B10D" w14:textId="2DDF521D" w:rsidR="00701D55" w:rsidRPr="000D03B4" w:rsidRDefault="00701D55" w:rsidP="009A2E97">
            <w:pPr>
              <w:widowControl/>
              <w:snapToGrid w:val="0"/>
              <w:jc w:val="center"/>
              <w:rPr>
                <w:b/>
                <w:kern w:val="0"/>
                <w:sz w:val="16"/>
                <w:szCs w:val="16"/>
              </w:rPr>
            </w:pPr>
            <w:r w:rsidRPr="000D03B4">
              <w:rPr>
                <w:b/>
                <w:kern w:val="0"/>
                <w:sz w:val="16"/>
                <w:szCs w:val="16"/>
              </w:rPr>
              <w:t>需求方</w:t>
            </w:r>
            <w:r w:rsidR="00336595" w:rsidRPr="000D03B4">
              <w:rPr>
                <w:b/>
                <w:kern w:val="0"/>
                <w:sz w:val="16"/>
                <w:szCs w:val="16"/>
              </w:rPr>
              <w:t>类别</w:t>
            </w:r>
          </w:p>
        </w:tc>
        <w:tc>
          <w:tcPr>
            <w:tcW w:w="1574" w:type="pct"/>
            <w:tcBorders>
              <w:top w:val="single" w:sz="4" w:space="0" w:color="auto"/>
              <w:left w:val="nil"/>
              <w:bottom w:val="single" w:sz="4" w:space="0" w:color="auto"/>
              <w:right w:val="single" w:sz="4" w:space="0" w:color="auto"/>
            </w:tcBorders>
            <w:shd w:val="clear" w:color="auto" w:fill="auto"/>
            <w:noWrap/>
            <w:vAlign w:val="center"/>
            <w:hideMark/>
          </w:tcPr>
          <w:p w14:paraId="0082FBBF" w14:textId="0A5C9A1F" w:rsidR="00701D55" w:rsidRPr="000D03B4" w:rsidRDefault="00766BBB" w:rsidP="009A2E97">
            <w:pPr>
              <w:widowControl/>
              <w:snapToGrid w:val="0"/>
              <w:jc w:val="center"/>
              <w:rPr>
                <w:b/>
                <w:kern w:val="0"/>
                <w:sz w:val="16"/>
                <w:szCs w:val="16"/>
              </w:rPr>
            </w:pPr>
            <w:r w:rsidRPr="000D03B4">
              <w:rPr>
                <w:rFonts w:hint="eastAsia"/>
                <w:b/>
                <w:kern w:val="0"/>
                <w:sz w:val="16"/>
                <w:szCs w:val="16"/>
              </w:rPr>
              <w:t>触发资产评估行业业务的</w:t>
            </w:r>
            <w:r w:rsidR="00701D55" w:rsidRPr="000D03B4">
              <w:rPr>
                <w:b/>
                <w:kern w:val="0"/>
                <w:sz w:val="16"/>
                <w:szCs w:val="16"/>
              </w:rPr>
              <w:t>经济行为数量</w:t>
            </w:r>
          </w:p>
        </w:tc>
      </w:tr>
      <w:tr w:rsidR="000D03B4" w:rsidRPr="000D03B4" w14:paraId="667C83C5" w14:textId="77777777" w:rsidTr="00701D55">
        <w:trPr>
          <w:trHeight w:val="280"/>
          <w:jc w:val="center"/>
        </w:trPr>
        <w:tc>
          <w:tcPr>
            <w:tcW w:w="1852" w:type="pct"/>
            <w:tcBorders>
              <w:top w:val="nil"/>
              <w:left w:val="single" w:sz="4" w:space="0" w:color="auto"/>
              <w:bottom w:val="single" w:sz="4" w:space="0" w:color="auto"/>
              <w:right w:val="single" w:sz="4" w:space="0" w:color="auto"/>
            </w:tcBorders>
            <w:shd w:val="clear" w:color="auto" w:fill="auto"/>
            <w:noWrap/>
            <w:vAlign w:val="center"/>
            <w:hideMark/>
          </w:tcPr>
          <w:p w14:paraId="779A4E73" w14:textId="77777777" w:rsidR="00701D55" w:rsidRPr="000D03B4" w:rsidRDefault="00701D55" w:rsidP="009A2E97">
            <w:pPr>
              <w:widowControl/>
              <w:snapToGrid w:val="0"/>
              <w:jc w:val="center"/>
              <w:rPr>
                <w:kern w:val="0"/>
                <w:sz w:val="16"/>
                <w:szCs w:val="16"/>
              </w:rPr>
            </w:pPr>
            <w:r w:rsidRPr="000D03B4">
              <w:rPr>
                <w:kern w:val="0"/>
                <w:sz w:val="16"/>
                <w:szCs w:val="16"/>
              </w:rPr>
              <w:t>评估类业务</w:t>
            </w:r>
          </w:p>
        </w:tc>
        <w:tc>
          <w:tcPr>
            <w:tcW w:w="1574" w:type="pct"/>
            <w:tcBorders>
              <w:top w:val="nil"/>
              <w:left w:val="nil"/>
              <w:bottom w:val="single" w:sz="4" w:space="0" w:color="auto"/>
              <w:right w:val="single" w:sz="4" w:space="0" w:color="auto"/>
            </w:tcBorders>
            <w:shd w:val="clear" w:color="auto" w:fill="auto"/>
            <w:noWrap/>
            <w:vAlign w:val="center"/>
            <w:hideMark/>
          </w:tcPr>
          <w:p w14:paraId="75C0962C" w14:textId="67DB6ACA" w:rsidR="00701D55" w:rsidRPr="000D03B4" w:rsidRDefault="00A31FFD" w:rsidP="009A2E97">
            <w:pPr>
              <w:widowControl/>
              <w:snapToGrid w:val="0"/>
              <w:jc w:val="center"/>
              <w:rPr>
                <w:kern w:val="0"/>
                <w:sz w:val="16"/>
                <w:szCs w:val="16"/>
              </w:rPr>
            </w:pPr>
            <w:r>
              <w:rPr>
                <w:rFonts w:hint="eastAsia"/>
                <w:kern w:val="0"/>
                <w:sz w:val="16"/>
                <w:szCs w:val="16"/>
              </w:rPr>
              <w:t>8</w:t>
            </w:r>
          </w:p>
        </w:tc>
        <w:tc>
          <w:tcPr>
            <w:tcW w:w="1574" w:type="pct"/>
            <w:tcBorders>
              <w:top w:val="nil"/>
              <w:left w:val="nil"/>
              <w:bottom w:val="single" w:sz="4" w:space="0" w:color="auto"/>
              <w:right w:val="single" w:sz="4" w:space="0" w:color="auto"/>
            </w:tcBorders>
            <w:shd w:val="clear" w:color="auto" w:fill="auto"/>
            <w:noWrap/>
            <w:vAlign w:val="center"/>
            <w:hideMark/>
          </w:tcPr>
          <w:p w14:paraId="784E14AF" w14:textId="26EDC869" w:rsidR="00701D55" w:rsidRPr="000D03B4" w:rsidRDefault="009B5733" w:rsidP="009A2E97">
            <w:pPr>
              <w:widowControl/>
              <w:snapToGrid w:val="0"/>
              <w:jc w:val="center"/>
              <w:rPr>
                <w:kern w:val="0"/>
                <w:sz w:val="16"/>
                <w:szCs w:val="16"/>
              </w:rPr>
            </w:pPr>
            <w:r w:rsidRPr="000D03B4">
              <w:rPr>
                <w:kern w:val="0"/>
                <w:sz w:val="16"/>
                <w:szCs w:val="16"/>
              </w:rPr>
              <w:t>85</w:t>
            </w:r>
          </w:p>
        </w:tc>
      </w:tr>
      <w:tr w:rsidR="000D03B4" w:rsidRPr="000D03B4" w14:paraId="3C81ACE3" w14:textId="77777777" w:rsidTr="00701D55">
        <w:trPr>
          <w:trHeight w:val="280"/>
          <w:jc w:val="center"/>
        </w:trPr>
        <w:tc>
          <w:tcPr>
            <w:tcW w:w="1852" w:type="pct"/>
            <w:tcBorders>
              <w:top w:val="nil"/>
              <w:left w:val="single" w:sz="4" w:space="0" w:color="auto"/>
              <w:bottom w:val="single" w:sz="4" w:space="0" w:color="auto"/>
              <w:right w:val="single" w:sz="4" w:space="0" w:color="auto"/>
            </w:tcBorders>
            <w:shd w:val="clear" w:color="auto" w:fill="auto"/>
            <w:noWrap/>
            <w:vAlign w:val="center"/>
            <w:hideMark/>
          </w:tcPr>
          <w:p w14:paraId="51D802B1" w14:textId="77777777" w:rsidR="00701D55" w:rsidRPr="000D03B4" w:rsidRDefault="00701D55" w:rsidP="009A2E97">
            <w:pPr>
              <w:widowControl/>
              <w:snapToGrid w:val="0"/>
              <w:jc w:val="center"/>
              <w:rPr>
                <w:kern w:val="0"/>
                <w:sz w:val="16"/>
                <w:szCs w:val="16"/>
              </w:rPr>
            </w:pPr>
            <w:r w:rsidRPr="000D03B4">
              <w:rPr>
                <w:kern w:val="0"/>
                <w:sz w:val="16"/>
                <w:szCs w:val="16"/>
              </w:rPr>
              <w:t>评价类业务</w:t>
            </w:r>
          </w:p>
        </w:tc>
        <w:tc>
          <w:tcPr>
            <w:tcW w:w="1574" w:type="pct"/>
            <w:tcBorders>
              <w:top w:val="nil"/>
              <w:left w:val="nil"/>
              <w:bottom w:val="single" w:sz="4" w:space="0" w:color="auto"/>
              <w:right w:val="single" w:sz="4" w:space="0" w:color="auto"/>
            </w:tcBorders>
            <w:shd w:val="clear" w:color="auto" w:fill="auto"/>
            <w:noWrap/>
            <w:vAlign w:val="center"/>
            <w:hideMark/>
          </w:tcPr>
          <w:p w14:paraId="66EC303E" w14:textId="77777777" w:rsidR="00701D55" w:rsidRPr="000D03B4" w:rsidRDefault="00701D55" w:rsidP="009A2E97">
            <w:pPr>
              <w:widowControl/>
              <w:snapToGrid w:val="0"/>
              <w:jc w:val="center"/>
              <w:rPr>
                <w:kern w:val="0"/>
                <w:sz w:val="16"/>
                <w:szCs w:val="16"/>
              </w:rPr>
            </w:pPr>
            <w:r w:rsidRPr="000D03B4">
              <w:rPr>
                <w:kern w:val="0"/>
                <w:sz w:val="16"/>
                <w:szCs w:val="16"/>
              </w:rPr>
              <w:t>2</w:t>
            </w:r>
          </w:p>
        </w:tc>
        <w:tc>
          <w:tcPr>
            <w:tcW w:w="1574" w:type="pct"/>
            <w:tcBorders>
              <w:top w:val="nil"/>
              <w:left w:val="nil"/>
              <w:bottom w:val="single" w:sz="4" w:space="0" w:color="auto"/>
              <w:right w:val="single" w:sz="4" w:space="0" w:color="auto"/>
            </w:tcBorders>
            <w:shd w:val="clear" w:color="auto" w:fill="auto"/>
            <w:noWrap/>
            <w:vAlign w:val="center"/>
            <w:hideMark/>
          </w:tcPr>
          <w:p w14:paraId="0E03A29A" w14:textId="4114C7F2" w:rsidR="00701D55" w:rsidRPr="000D03B4" w:rsidRDefault="00013E18" w:rsidP="009A2E97">
            <w:pPr>
              <w:widowControl/>
              <w:snapToGrid w:val="0"/>
              <w:jc w:val="center"/>
              <w:rPr>
                <w:kern w:val="0"/>
                <w:sz w:val="16"/>
                <w:szCs w:val="16"/>
              </w:rPr>
            </w:pPr>
            <w:r w:rsidRPr="000D03B4">
              <w:rPr>
                <w:kern w:val="0"/>
                <w:sz w:val="16"/>
                <w:szCs w:val="16"/>
              </w:rPr>
              <w:t>12</w:t>
            </w:r>
          </w:p>
        </w:tc>
      </w:tr>
      <w:tr w:rsidR="000D03B4" w:rsidRPr="000D03B4" w14:paraId="27BC4367" w14:textId="77777777" w:rsidTr="00701D55">
        <w:trPr>
          <w:trHeight w:val="280"/>
          <w:jc w:val="center"/>
        </w:trPr>
        <w:tc>
          <w:tcPr>
            <w:tcW w:w="1852" w:type="pct"/>
            <w:tcBorders>
              <w:top w:val="nil"/>
              <w:left w:val="single" w:sz="4" w:space="0" w:color="auto"/>
              <w:bottom w:val="single" w:sz="4" w:space="0" w:color="auto"/>
              <w:right w:val="single" w:sz="4" w:space="0" w:color="auto"/>
            </w:tcBorders>
            <w:shd w:val="clear" w:color="auto" w:fill="auto"/>
            <w:noWrap/>
            <w:vAlign w:val="center"/>
            <w:hideMark/>
          </w:tcPr>
          <w:p w14:paraId="55D24A1E" w14:textId="77777777" w:rsidR="00701D55" w:rsidRPr="000D03B4" w:rsidRDefault="00701D55" w:rsidP="009A2E97">
            <w:pPr>
              <w:widowControl/>
              <w:snapToGrid w:val="0"/>
              <w:jc w:val="center"/>
              <w:rPr>
                <w:kern w:val="0"/>
                <w:sz w:val="16"/>
                <w:szCs w:val="16"/>
              </w:rPr>
            </w:pPr>
            <w:r w:rsidRPr="000D03B4">
              <w:rPr>
                <w:kern w:val="0"/>
                <w:sz w:val="16"/>
                <w:szCs w:val="16"/>
              </w:rPr>
              <w:t>咨询类业务</w:t>
            </w:r>
          </w:p>
        </w:tc>
        <w:tc>
          <w:tcPr>
            <w:tcW w:w="1574" w:type="pct"/>
            <w:tcBorders>
              <w:top w:val="nil"/>
              <w:left w:val="nil"/>
              <w:bottom w:val="single" w:sz="4" w:space="0" w:color="auto"/>
              <w:right w:val="single" w:sz="4" w:space="0" w:color="auto"/>
            </w:tcBorders>
            <w:shd w:val="clear" w:color="auto" w:fill="auto"/>
            <w:noWrap/>
            <w:vAlign w:val="center"/>
            <w:hideMark/>
          </w:tcPr>
          <w:p w14:paraId="7F724FF0" w14:textId="4CD3CB5B" w:rsidR="00701D55" w:rsidRPr="000D03B4" w:rsidRDefault="0061785A" w:rsidP="009A2E97">
            <w:pPr>
              <w:widowControl/>
              <w:snapToGrid w:val="0"/>
              <w:jc w:val="center"/>
              <w:rPr>
                <w:kern w:val="0"/>
                <w:sz w:val="16"/>
                <w:szCs w:val="16"/>
              </w:rPr>
            </w:pPr>
            <w:r w:rsidRPr="000D03B4">
              <w:rPr>
                <w:kern w:val="0"/>
                <w:sz w:val="16"/>
                <w:szCs w:val="16"/>
              </w:rPr>
              <w:t>2</w:t>
            </w:r>
          </w:p>
        </w:tc>
        <w:tc>
          <w:tcPr>
            <w:tcW w:w="1574" w:type="pct"/>
            <w:tcBorders>
              <w:top w:val="nil"/>
              <w:left w:val="nil"/>
              <w:bottom w:val="single" w:sz="4" w:space="0" w:color="auto"/>
              <w:right w:val="single" w:sz="4" w:space="0" w:color="auto"/>
            </w:tcBorders>
            <w:shd w:val="clear" w:color="auto" w:fill="auto"/>
            <w:noWrap/>
            <w:vAlign w:val="center"/>
            <w:hideMark/>
          </w:tcPr>
          <w:p w14:paraId="5F71B1BB" w14:textId="77777777" w:rsidR="00701D55" w:rsidRPr="000D03B4" w:rsidRDefault="00701D55" w:rsidP="009A2E97">
            <w:pPr>
              <w:widowControl/>
              <w:snapToGrid w:val="0"/>
              <w:jc w:val="center"/>
              <w:rPr>
                <w:kern w:val="0"/>
                <w:sz w:val="16"/>
                <w:szCs w:val="16"/>
              </w:rPr>
            </w:pPr>
            <w:r w:rsidRPr="000D03B4">
              <w:rPr>
                <w:kern w:val="0"/>
                <w:sz w:val="16"/>
                <w:szCs w:val="16"/>
              </w:rPr>
              <w:t>29</w:t>
            </w:r>
          </w:p>
        </w:tc>
      </w:tr>
      <w:tr w:rsidR="000D03B4" w:rsidRPr="000D03B4" w14:paraId="247977A8" w14:textId="77777777" w:rsidTr="00701D55">
        <w:trPr>
          <w:trHeight w:val="280"/>
          <w:jc w:val="center"/>
        </w:trPr>
        <w:tc>
          <w:tcPr>
            <w:tcW w:w="1852" w:type="pct"/>
            <w:tcBorders>
              <w:top w:val="nil"/>
              <w:left w:val="single" w:sz="4" w:space="0" w:color="auto"/>
              <w:bottom w:val="single" w:sz="4" w:space="0" w:color="auto"/>
              <w:right w:val="single" w:sz="4" w:space="0" w:color="auto"/>
            </w:tcBorders>
            <w:shd w:val="clear" w:color="auto" w:fill="auto"/>
            <w:noWrap/>
            <w:vAlign w:val="center"/>
            <w:hideMark/>
          </w:tcPr>
          <w:p w14:paraId="7C72928B" w14:textId="77777777" w:rsidR="00701D55" w:rsidRPr="000D03B4" w:rsidRDefault="00701D55" w:rsidP="009A2E97">
            <w:pPr>
              <w:widowControl/>
              <w:snapToGrid w:val="0"/>
              <w:jc w:val="center"/>
              <w:rPr>
                <w:kern w:val="0"/>
                <w:sz w:val="16"/>
                <w:szCs w:val="16"/>
              </w:rPr>
            </w:pPr>
            <w:r w:rsidRPr="000D03B4">
              <w:rPr>
                <w:kern w:val="0"/>
                <w:sz w:val="16"/>
                <w:szCs w:val="16"/>
              </w:rPr>
              <w:t>合计</w:t>
            </w:r>
          </w:p>
        </w:tc>
        <w:tc>
          <w:tcPr>
            <w:tcW w:w="1574" w:type="pct"/>
            <w:tcBorders>
              <w:top w:val="nil"/>
              <w:left w:val="nil"/>
              <w:bottom w:val="single" w:sz="4" w:space="0" w:color="auto"/>
              <w:right w:val="single" w:sz="4" w:space="0" w:color="auto"/>
            </w:tcBorders>
            <w:shd w:val="clear" w:color="auto" w:fill="auto"/>
            <w:noWrap/>
            <w:vAlign w:val="center"/>
            <w:hideMark/>
          </w:tcPr>
          <w:p w14:paraId="526CCD50" w14:textId="7FE6CBD5" w:rsidR="00701D55" w:rsidRPr="000D03B4" w:rsidRDefault="00A31FFD" w:rsidP="009A2E97">
            <w:pPr>
              <w:widowControl/>
              <w:snapToGrid w:val="0"/>
              <w:jc w:val="center"/>
              <w:rPr>
                <w:kern w:val="0"/>
                <w:sz w:val="16"/>
                <w:szCs w:val="16"/>
              </w:rPr>
            </w:pPr>
            <w:r>
              <w:rPr>
                <w:rFonts w:hint="eastAsia"/>
                <w:kern w:val="0"/>
                <w:sz w:val="16"/>
                <w:szCs w:val="16"/>
              </w:rPr>
              <w:t>12</w:t>
            </w:r>
          </w:p>
        </w:tc>
        <w:tc>
          <w:tcPr>
            <w:tcW w:w="1574" w:type="pct"/>
            <w:tcBorders>
              <w:top w:val="nil"/>
              <w:left w:val="nil"/>
              <w:bottom w:val="single" w:sz="4" w:space="0" w:color="auto"/>
              <w:right w:val="single" w:sz="4" w:space="0" w:color="auto"/>
            </w:tcBorders>
            <w:shd w:val="clear" w:color="auto" w:fill="auto"/>
            <w:noWrap/>
            <w:vAlign w:val="center"/>
            <w:hideMark/>
          </w:tcPr>
          <w:p w14:paraId="330D68C7" w14:textId="0F22B6BD" w:rsidR="00701D55" w:rsidRPr="000D03B4" w:rsidRDefault="00701D55" w:rsidP="009A2E97">
            <w:pPr>
              <w:widowControl/>
              <w:snapToGrid w:val="0"/>
              <w:jc w:val="center"/>
              <w:rPr>
                <w:kern w:val="0"/>
                <w:sz w:val="16"/>
                <w:szCs w:val="16"/>
              </w:rPr>
            </w:pPr>
            <w:r w:rsidRPr="000D03B4">
              <w:rPr>
                <w:kern w:val="0"/>
                <w:sz w:val="16"/>
                <w:szCs w:val="16"/>
              </w:rPr>
              <w:t>12</w:t>
            </w:r>
            <w:r w:rsidR="0069226D" w:rsidRPr="000D03B4">
              <w:rPr>
                <w:kern w:val="0"/>
                <w:sz w:val="16"/>
                <w:szCs w:val="16"/>
              </w:rPr>
              <w:t>6</w:t>
            </w:r>
          </w:p>
        </w:tc>
      </w:tr>
    </w:tbl>
    <w:p w14:paraId="5A4FC9CB" w14:textId="094B7053" w:rsidR="00506AE0" w:rsidRPr="000D03B4" w:rsidRDefault="009F7A3A" w:rsidP="00211705">
      <w:pPr>
        <w:spacing w:line="276" w:lineRule="auto"/>
        <w:ind w:firstLineChars="200" w:firstLine="480"/>
        <w:rPr>
          <w:rFonts w:eastAsia="黑体"/>
          <w:sz w:val="24"/>
        </w:rPr>
      </w:pPr>
      <w:bookmarkStart w:id="24" w:name="_Toc2778970"/>
      <w:bookmarkStart w:id="25" w:name="_Toc3385890"/>
      <w:bookmarkStart w:id="26" w:name="_Toc10395352"/>
      <w:bookmarkStart w:id="27" w:name="_Toc13148350"/>
      <w:r w:rsidRPr="000D03B4">
        <w:rPr>
          <w:rFonts w:eastAsia="黑体"/>
          <w:sz w:val="24"/>
        </w:rPr>
        <w:t>一、</w:t>
      </w:r>
      <w:r w:rsidR="00122127" w:rsidRPr="000D03B4">
        <w:rPr>
          <w:rFonts w:eastAsia="黑体"/>
          <w:sz w:val="24"/>
        </w:rPr>
        <w:t>评估</w:t>
      </w:r>
      <w:r w:rsidR="004D0A4C" w:rsidRPr="000D03B4">
        <w:rPr>
          <w:rFonts w:eastAsia="黑体"/>
          <w:sz w:val="24"/>
        </w:rPr>
        <w:t>类</w:t>
      </w:r>
      <w:r w:rsidR="00122127" w:rsidRPr="000D03B4">
        <w:rPr>
          <w:rFonts w:eastAsia="黑体"/>
          <w:sz w:val="24"/>
        </w:rPr>
        <w:t>业务</w:t>
      </w:r>
      <w:bookmarkEnd w:id="24"/>
      <w:bookmarkEnd w:id="25"/>
      <w:bookmarkEnd w:id="26"/>
      <w:bookmarkEnd w:id="27"/>
    </w:p>
    <w:p w14:paraId="7F49B168" w14:textId="338429D7" w:rsidR="00B236E9" w:rsidRPr="000D03B4" w:rsidRDefault="00D81430" w:rsidP="009B4991">
      <w:pPr>
        <w:spacing w:line="276" w:lineRule="auto"/>
        <w:ind w:firstLineChars="200" w:firstLine="480"/>
        <w:rPr>
          <w:sz w:val="24"/>
        </w:rPr>
      </w:pPr>
      <w:r w:rsidRPr="000D03B4">
        <w:rPr>
          <w:sz w:val="24"/>
        </w:rPr>
        <w:t>评估类业务涉及的</w:t>
      </w:r>
      <w:r w:rsidR="00B236E9" w:rsidRPr="000D03B4">
        <w:rPr>
          <w:sz w:val="24"/>
        </w:rPr>
        <w:t>需求</w:t>
      </w:r>
      <w:r w:rsidR="0077355C" w:rsidRPr="000D03B4">
        <w:rPr>
          <w:sz w:val="24"/>
        </w:rPr>
        <w:t>方包括</w:t>
      </w:r>
      <w:r w:rsidR="00B236E9" w:rsidRPr="000D03B4">
        <w:rPr>
          <w:sz w:val="24"/>
        </w:rPr>
        <w:t>：国资委</w:t>
      </w:r>
      <w:r w:rsidR="00324175">
        <w:rPr>
          <w:rFonts w:hint="eastAsia"/>
          <w:sz w:val="24"/>
        </w:rPr>
        <w:t>、</w:t>
      </w:r>
      <w:r w:rsidR="00324175">
        <w:rPr>
          <w:sz w:val="24"/>
        </w:rPr>
        <w:t>财政部及其授权履行国有资产监管的中央企业和中央金融企业</w:t>
      </w:r>
      <w:r w:rsidR="00324175">
        <w:rPr>
          <w:rFonts w:hint="eastAsia"/>
          <w:sz w:val="24"/>
        </w:rPr>
        <w:t>，</w:t>
      </w:r>
      <w:r w:rsidR="00B236E9" w:rsidRPr="000D03B4">
        <w:rPr>
          <w:sz w:val="24"/>
        </w:rPr>
        <w:t>国有企业</w:t>
      </w:r>
      <w:r w:rsidR="007D4FFF">
        <w:rPr>
          <w:rFonts w:hint="eastAsia"/>
          <w:sz w:val="24"/>
        </w:rPr>
        <w:t>，</w:t>
      </w:r>
      <w:r w:rsidR="005C0E33" w:rsidRPr="000D03B4">
        <w:rPr>
          <w:sz w:val="24"/>
        </w:rPr>
        <w:t>国有</w:t>
      </w:r>
      <w:r w:rsidR="007D4FFF">
        <w:rPr>
          <w:sz w:val="24"/>
        </w:rPr>
        <w:t>金融企业</w:t>
      </w:r>
      <w:r w:rsidR="007D4FFF">
        <w:rPr>
          <w:rFonts w:hint="eastAsia"/>
          <w:sz w:val="24"/>
        </w:rPr>
        <w:t>，</w:t>
      </w:r>
      <w:r w:rsidR="007D4FFF">
        <w:rPr>
          <w:sz w:val="24"/>
        </w:rPr>
        <w:t>中央文化企业</w:t>
      </w:r>
      <w:r w:rsidR="007D4FFF">
        <w:rPr>
          <w:rFonts w:hint="eastAsia"/>
          <w:sz w:val="24"/>
        </w:rPr>
        <w:t>，</w:t>
      </w:r>
      <w:r w:rsidR="00FC0ABB" w:rsidRPr="000D03B4">
        <w:rPr>
          <w:sz w:val="24"/>
        </w:rPr>
        <w:t>上市公司与非上市公众公司</w:t>
      </w:r>
      <w:r w:rsidR="007D4FFF">
        <w:rPr>
          <w:rFonts w:hint="eastAsia"/>
          <w:sz w:val="24"/>
        </w:rPr>
        <w:t>，</w:t>
      </w:r>
      <w:r w:rsidR="00B236E9" w:rsidRPr="000D03B4">
        <w:rPr>
          <w:sz w:val="24"/>
        </w:rPr>
        <w:t>行政事业单位</w:t>
      </w:r>
      <w:r w:rsidR="007D4FFF">
        <w:rPr>
          <w:rFonts w:hint="eastAsia"/>
          <w:sz w:val="24"/>
        </w:rPr>
        <w:t>，</w:t>
      </w:r>
      <w:r w:rsidR="00B236E9" w:rsidRPr="000D03B4">
        <w:rPr>
          <w:sz w:val="24"/>
        </w:rPr>
        <w:t>企业及其</w:t>
      </w:r>
      <w:proofErr w:type="gramStart"/>
      <w:r w:rsidR="00B236E9" w:rsidRPr="000D03B4">
        <w:rPr>
          <w:sz w:val="24"/>
        </w:rPr>
        <w:t>他主体</w:t>
      </w:r>
      <w:proofErr w:type="gramEnd"/>
      <w:r w:rsidRPr="000D03B4">
        <w:rPr>
          <w:sz w:val="24"/>
        </w:rPr>
        <w:t>等，触发资产</w:t>
      </w:r>
      <w:r w:rsidR="00DF277E" w:rsidRPr="000D03B4">
        <w:rPr>
          <w:sz w:val="24"/>
        </w:rPr>
        <w:t>评估行业业务</w:t>
      </w:r>
      <w:r w:rsidRPr="000D03B4">
        <w:rPr>
          <w:sz w:val="24"/>
        </w:rPr>
        <w:t>的</w:t>
      </w:r>
      <w:r w:rsidR="00B236E9" w:rsidRPr="000D03B4">
        <w:rPr>
          <w:sz w:val="24"/>
        </w:rPr>
        <w:t>经济行为共计</w:t>
      </w:r>
      <w:r w:rsidR="00013E18" w:rsidRPr="000D03B4">
        <w:rPr>
          <w:sz w:val="24"/>
        </w:rPr>
        <w:t>8</w:t>
      </w:r>
      <w:r w:rsidR="009B5733" w:rsidRPr="000D03B4">
        <w:rPr>
          <w:sz w:val="24"/>
        </w:rPr>
        <w:t>5</w:t>
      </w:r>
      <w:r w:rsidR="00B236E9" w:rsidRPr="000D03B4">
        <w:rPr>
          <w:sz w:val="24"/>
        </w:rPr>
        <w:t>项，如表</w:t>
      </w:r>
      <w:r w:rsidR="00B84628" w:rsidRPr="000D03B4">
        <w:rPr>
          <w:sz w:val="24"/>
        </w:rPr>
        <w:t>2</w:t>
      </w:r>
      <w:r w:rsidR="00B236E9" w:rsidRPr="000D03B4">
        <w:rPr>
          <w:sz w:val="24"/>
        </w:rPr>
        <w:t>所示。</w:t>
      </w:r>
    </w:p>
    <w:p w14:paraId="75955AFA" w14:textId="77777777" w:rsidR="007F6EC8" w:rsidRPr="000D03B4" w:rsidRDefault="007F6EC8" w:rsidP="00A745DB">
      <w:pPr>
        <w:snapToGrid w:val="0"/>
        <w:jc w:val="center"/>
        <w:rPr>
          <w:b/>
          <w:sz w:val="24"/>
          <w:szCs w:val="28"/>
        </w:rPr>
      </w:pPr>
    </w:p>
    <w:p w14:paraId="68A0BDEC" w14:textId="5079F118" w:rsidR="00B236E9" w:rsidRPr="000D03B4" w:rsidRDefault="00B236E9" w:rsidP="00A745DB">
      <w:pPr>
        <w:snapToGrid w:val="0"/>
        <w:jc w:val="center"/>
        <w:rPr>
          <w:b/>
          <w:sz w:val="24"/>
          <w:szCs w:val="28"/>
        </w:rPr>
      </w:pPr>
      <w:r w:rsidRPr="000D03B4">
        <w:rPr>
          <w:b/>
          <w:sz w:val="24"/>
          <w:szCs w:val="28"/>
        </w:rPr>
        <w:t>表</w:t>
      </w:r>
      <w:r w:rsidRPr="000D03B4">
        <w:rPr>
          <w:b/>
          <w:sz w:val="24"/>
          <w:szCs w:val="28"/>
        </w:rPr>
        <w:t xml:space="preserve">2 </w:t>
      </w:r>
      <w:r w:rsidR="008D2A3C" w:rsidRPr="000D03B4">
        <w:rPr>
          <w:b/>
          <w:sz w:val="24"/>
          <w:szCs w:val="28"/>
        </w:rPr>
        <w:t>评估类业务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031"/>
        <w:gridCol w:w="1099"/>
        <w:gridCol w:w="4954"/>
      </w:tblGrid>
      <w:tr w:rsidR="00B236E9" w:rsidRPr="000D03B4" w14:paraId="4B973F8C" w14:textId="77777777" w:rsidTr="007F6EC8">
        <w:trPr>
          <w:trHeight w:val="499"/>
          <w:tblHeader/>
        </w:trPr>
        <w:tc>
          <w:tcPr>
            <w:tcW w:w="2724" w:type="dxa"/>
            <w:gridSpan w:val="2"/>
            <w:shd w:val="clear" w:color="auto" w:fill="auto"/>
            <w:vAlign w:val="center"/>
            <w:hideMark/>
          </w:tcPr>
          <w:p w14:paraId="029994CE" w14:textId="2CB988B4" w:rsidR="00B236E9" w:rsidRPr="000D03B4" w:rsidRDefault="00B236E9" w:rsidP="00A745DB">
            <w:pPr>
              <w:widowControl/>
              <w:snapToGrid w:val="0"/>
              <w:jc w:val="center"/>
              <w:rPr>
                <w:rFonts w:eastAsiaTheme="majorEastAsia"/>
                <w:b/>
                <w:bCs/>
                <w:kern w:val="0"/>
                <w:sz w:val="18"/>
                <w:szCs w:val="18"/>
              </w:rPr>
            </w:pPr>
            <w:r w:rsidRPr="000D03B4">
              <w:rPr>
                <w:rFonts w:eastAsiaTheme="majorEastAsia"/>
                <w:b/>
                <w:bCs/>
                <w:kern w:val="0"/>
                <w:sz w:val="18"/>
                <w:szCs w:val="18"/>
              </w:rPr>
              <w:t>需求方</w:t>
            </w:r>
          </w:p>
        </w:tc>
        <w:tc>
          <w:tcPr>
            <w:tcW w:w="6053" w:type="dxa"/>
            <w:gridSpan w:val="2"/>
            <w:shd w:val="clear" w:color="auto" w:fill="auto"/>
            <w:vAlign w:val="center"/>
            <w:hideMark/>
          </w:tcPr>
          <w:p w14:paraId="58EE5DF4" w14:textId="1C0CC7CC" w:rsidR="00B236E9" w:rsidRPr="000D03B4" w:rsidRDefault="00B236E9" w:rsidP="00A745DB">
            <w:pPr>
              <w:widowControl/>
              <w:snapToGrid w:val="0"/>
              <w:jc w:val="center"/>
              <w:rPr>
                <w:rFonts w:eastAsiaTheme="majorEastAsia"/>
                <w:b/>
                <w:bCs/>
                <w:kern w:val="0"/>
                <w:sz w:val="18"/>
                <w:szCs w:val="18"/>
              </w:rPr>
            </w:pPr>
            <w:r w:rsidRPr="000D03B4">
              <w:rPr>
                <w:rFonts w:eastAsiaTheme="majorEastAsia"/>
                <w:b/>
                <w:bCs/>
                <w:kern w:val="0"/>
                <w:sz w:val="18"/>
                <w:szCs w:val="18"/>
              </w:rPr>
              <w:t>触发资产评估</w:t>
            </w:r>
            <w:r w:rsidR="007A4217" w:rsidRPr="000D03B4">
              <w:rPr>
                <w:rFonts w:eastAsiaTheme="majorEastAsia"/>
                <w:b/>
                <w:bCs/>
                <w:kern w:val="0"/>
                <w:sz w:val="18"/>
                <w:szCs w:val="18"/>
              </w:rPr>
              <w:t>行业</w:t>
            </w:r>
            <w:r w:rsidRPr="000D03B4">
              <w:rPr>
                <w:rFonts w:eastAsiaTheme="majorEastAsia"/>
                <w:b/>
                <w:bCs/>
                <w:kern w:val="0"/>
                <w:sz w:val="18"/>
                <w:szCs w:val="18"/>
              </w:rPr>
              <w:t>业务的具体经济行为</w:t>
            </w:r>
          </w:p>
        </w:tc>
      </w:tr>
      <w:tr w:rsidR="00B236E9" w:rsidRPr="000D03B4" w14:paraId="4339E834" w14:textId="77777777" w:rsidTr="00421709">
        <w:trPr>
          <w:trHeight w:val="20"/>
        </w:trPr>
        <w:tc>
          <w:tcPr>
            <w:tcW w:w="693" w:type="dxa"/>
            <w:vMerge w:val="restart"/>
            <w:shd w:val="clear" w:color="auto" w:fill="auto"/>
            <w:noWrap/>
            <w:vAlign w:val="center"/>
            <w:hideMark/>
          </w:tcPr>
          <w:p w14:paraId="6503F446"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w:t>
            </w:r>
          </w:p>
        </w:tc>
        <w:tc>
          <w:tcPr>
            <w:tcW w:w="2031" w:type="dxa"/>
            <w:vMerge w:val="restart"/>
            <w:shd w:val="clear" w:color="auto" w:fill="auto"/>
            <w:vAlign w:val="center"/>
            <w:hideMark/>
          </w:tcPr>
          <w:p w14:paraId="63BF00ED" w14:textId="4A42BD3F" w:rsidR="00B236E9" w:rsidRPr="000D03B4" w:rsidRDefault="00B236E9" w:rsidP="00324175">
            <w:pPr>
              <w:widowControl/>
              <w:snapToGrid w:val="0"/>
              <w:jc w:val="center"/>
              <w:rPr>
                <w:rFonts w:eastAsiaTheme="majorEastAsia"/>
                <w:kern w:val="0"/>
                <w:sz w:val="18"/>
                <w:szCs w:val="18"/>
              </w:rPr>
            </w:pPr>
            <w:r w:rsidRPr="000D03B4">
              <w:rPr>
                <w:rFonts w:eastAsiaTheme="majorEastAsia"/>
                <w:kern w:val="0"/>
                <w:sz w:val="18"/>
                <w:szCs w:val="18"/>
              </w:rPr>
              <w:t>国资委</w:t>
            </w:r>
            <w:r w:rsidR="00324175">
              <w:rPr>
                <w:rFonts w:eastAsiaTheme="majorEastAsia" w:hint="eastAsia"/>
                <w:kern w:val="0"/>
                <w:sz w:val="18"/>
                <w:szCs w:val="18"/>
              </w:rPr>
              <w:t>、</w:t>
            </w:r>
            <w:r w:rsidRPr="000D03B4">
              <w:rPr>
                <w:rFonts w:eastAsiaTheme="majorEastAsia"/>
                <w:kern w:val="0"/>
                <w:sz w:val="18"/>
                <w:szCs w:val="18"/>
              </w:rPr>
              <w:t>财政部及其授权履行国有资产监管的中央企业和中央金融企业</w:t>
            </w:r>
          </w:p>
        </w:tc>
        <w:tc>
          <w:tcPr>
            <w:tcW w:w="1099" w:type="dxa"/>
            <w:shd w:val="clear" w:color="auto" w:fill="auto"/>
            <w:noWrap/>
            <w:vAlign w:val="center"/>
            <w:hideMark/>
          </w:tcPr>
          <w:p w14:paraId="31935E03"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1.1.1</w:t>
            </w:r>
          </w:p>
        </w:tc>
        <w:tc>
          <w:tcPr>
            <w:tcW w:w="4954" w:type="dxa"/>
            <w:shd w:val="clear" w:color="auto" w:fill="auto"/>
            <w:noWrap/>
            <w:vAlign w:val="center"/>
            <w:hideMark/>
          </w:tcPr>
          <w:p w14:paraId="7D8A71BA"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资产转让</w:t>
            </w:r>
          </w:p>
        </w:tc>
      </w:tr>
      <w:tr w:rsidR="00B236E9" w:rsidRPr="000D03B4" w14:paraId="25554DC2" w14:textId="77777777" w:rsidTr="00421709">
        <w:trPr>
          <w:trHeight w:val="20"/>
        </w:trPr>
        <w:tc>
          <w:tcPr>
            <w:tcW w:w="693" w:type="dxa"/>
            <w:vMerge/>
            <w:shd w:val="clear" w:color="auto" w:fill="auto"/>
            <w:vAlign w:val="center"/>
            <w:hideMark/>
          </w:tcPr>
          <w:p w14:paraId="1F8DE1A4"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211626BF"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69D942E1"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1.1.2</w:t>
            </w:r>
          </w:p>
        </w:tc>
        <w:tc>
          <w:tcPr>
            <w:tcW w:w="4954" w:type="dxa"/>
            <w:shd w:val="clear" w:color="auto" w:fill="auto"/>
            <w:noWrap/>
            <w:vAlign w:val="center"/>
            <w:hideMark/>
          </w:tcPr>
          <w:p w14:paraId="4EE7953E"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资产拍卖</w:t>
            </w:r>
          </w:p>
        </w:tc>
      </w:tr>
      <w:tr w:rsidR="00B236E9" w:rsidRPr="000D03B4" w14:paraId="7B30BD9F" w14:textId="77777777" w:rsidTr="00421709">
        <w:trPr>
          <w:trHeight w:val="20"/>
        </w:trPr>
        <w:tc>
          <w:tcPr>
            <w:tcW w:w="693" w:type="dxa"/>
            <w:vMerge/>
            <w:shd w:val="clear" w:color="auto" w:fill="auto"/>
            <w:vAlign w:val="center"/>
            <w:hideMark/>
          </w:tcPr>
          <w:p w14:paraId="5494C3F9"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6A2EFFA5"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28125521"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1.1.3</w:t>
            </w:r>
          </w:p>
        </w:tc>
        <w:tc>
          <w:tcPr>
            <w:tcW w:w="4954" w:type="dxa"/>
            <w:shd w:val="clear" w:color="auto" w:fill="auto"/>
            <w:noWrap/>
            <w:vAlign w:val="center"/>
            <w:hideMark/>
          </w:tcPr>
          <w:p w14:paraId="625893F3"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资产偿债</w:t>
            </w:r>
          </w:p>
        </w:tc>
      </w:tr>
      <w:tr w:rsidR="00B236E9" w:rsidRPr="000D03B4" w14:paraId="716F45DE" w14:textId="77777777" w:rsidTr="00421709">
        <w:trPr>
          <w:trHeight w:val="20"/>
        </w:trPr>
        <w:tc>
          <w:tcPr>
            <w:tcW w:w="693" w:type="dxa"/>
            <w:vMerge/>
            <w:shd w:val="clear" w:color="auto" w:fill="auto"/>
            <w:vAlign w:val="center"/>
            <w:hideMark/>
          </w:tcPr>
          <w:p w14:paraId="17E76FA1"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24B23880"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642E4523"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1.1.4</w:t>
            </w:r>
          </w:p>
        </w:tc>
        <w:tc>
          <w:tcPr>
            <w:tcW w:w="4954" w:type="dxa"/>
            <w:shd w:val="clear" w:color="auto" w:fill="auto"/>
            <w:noWrap/>
            <w:vAlign w:val="center"/>
            <w:hideMark/>
          </w:tcPr>
          <w:p w14:paraId="5E1F4A39"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资产租赁</w:t>
            </w:r>
          </w:p>
        </w:tc>
      </w:tr>
      <w:tr w:rsidR="00B236E9" w:rsidRPr="000D03B4" w14:paraId="100B0AA9" w14:textId="77777777" w:rsidTr="00421709">
        <w:trPr>
          <w:trHeight w:val="20"/>
        </w:trPr>
        <w:tc>
          <w:tcPr>
            <w:tcW w:w="693" w:type="dxa"/>
            <w:vMerge/>
            <w:shd w:val="clear" w:color="auto" w:fill="auto"/>
            <w:vAlign w:val="center"/>
            <w:hideMark/>
          </w:tcPr>
          <w:p w14:paraId="54D85BB2"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0B4293DC"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142F0A62"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1.1.5</w:t>
            </w:r>
          </w:p>
        </w:tc>
        <w:tc>
          <w:tcPr>
            <w:tcW w:w="4954" w:type="dxa"/>
            <w:shd w:val="clear" w:color="auto" w:fill="auto"/>
            <w:noWrap/>
            <w:vAlign w:val="center"/>
            <w:hideMark/>
          </w:tcPr>
          <w:p w14:paraId="6BAE1290"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资产抵押</w:t>
            </w:r>
          </w:p>
        </w:tc>
      </w:tr>
      <w:tr w:rsidR="00B236E9" w:rsidRPr="000D03B4" w14:paraId="3F2E91BD" w14:textId="77777777" w:rsidTr="00421709">
        <w:trPr>
          <w:trHeight w:val="20"/>
        </w:trPr>
        <w:tc>
          <w:tcPr>
            <w:tcW w:w="693" w:type="dxa"/>
            <w:vMerge/>
            <w:shd w:val="clear" w:color="auto" w:fill="auto"/>
            <w:vAlign w:val="center"/>
            <w:hideMark/>
          </w:tcPr>
          <w:p w14:paraId="12A4C20D"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55B5193B"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1F95C23B"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1.1.6</w:t>
            </w:r>
          </w:p>
        </w:tc>
        <w:tc>
          <w:tcPr>
            <w:tcW w:w="4954" w:type="dxa"/>
            <w:shd w:val="clear" w:color="auto" w:fill="auto"/>
            <w:noWrap/>
            <w:vAlign w:val="center"/>
            <w:hideMark/>
          </w:tcPr>
          <w:p w14:paraId="4F490416"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资产质押</w:t>
            </w:r>
          </w:p>
        </w:tc>
      </w:tr>
      <w:tr w:rsidR="00B236E9" w:rsidRPr="000D03B4" w14:paraId="1B60FB32" w14:textId="77777777" w:rsidTr="00421709">
        <w:trPr>
          <w:trHeight w:val="20"/>
        </w:trPr>
        <w:tc>
          <w:tcPr>
            <w:tcW w:w="693" w:type="dxa"/>
            <w:vMerge/>
            <w:shd w:val="clear" w:color="auto" w:fill="auto"/>
            <w:vAlign w:val="center"/>
            <w:hideMark/>
          </w:tcPr>
          <w:p w14:paraId="7899E004"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4233E9EC"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5CA1CEEF"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1.1.7</w:t>
            </w:r>
          </w:p>
        </w:tc>
        <w:tc>
          <w:tcPr>
            <w:tcW w:w="4954" w:type="dxa"/>
            <w:shd w:val="clear" w:color="auto" w:fill="auto"/>
            <w:noWrap/>
            <w:vAlign w:val="center"/>
            <w:hideMark/>
          </w:tcPr>
          <w:p w14:paraId="468C9C9D"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资产重组</w:t>
            </w:r>
          </w:p>
        </w:tc>
      </w:tr>
      <w:tr w:rsidR="00B236E9" w:rsidRPr="000D03B4" w14:paraId="4BEA1C5A" w14:textId="77777777" w:rsidTr="00421709">
        <w:trPr>
          <w:trHeight w:val="20"/>
        </w:trPr>
        <w:tc>
          <w:tcPr>
            <w:tcW w:w="693" w:type="dxa"/>
            <w:vMerge/>
            <w:shd w:val="clear" w:color="auto" w:fill="auto"/>
            <w:vAlign w:val="center"/>
            <w:hideMark/>
          </w:tcPr>
          <w:p w14:paraId="72915D91"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4DBF6A8D"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43678C33"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1.1.8</w:t>
            </w:r>
          </w:p>
        </w:tc>
        <w:tc>
          <w:tcPr>
            <w:tcW w:w="4954" w:type="dxa"/>
            <w:shd w:val="clear" w:color="auto" w:fill="auto"/>
            <w:noWrap/>
            <w:vAlign w:val="center"/>
            <w:hideMark/>
          </w:tcPr>
          <w:p w14:paraId="767A465C"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资产捐赠</w:t>
            </w:r>
          </w:p>
        </w:tc>
      </w:tr>
      <w:tr w:rsidR="00B236E9" w:rsidRPr="000D03B4" w14:paraId="06917D57" w14:textId="77777777" w:rsidTr="00421709">
        <w:trPr>
          <w:trHeight w:val="20"/>
        </w:trPr>
        <w:tc>
          <w:tcPr>
            <w:tcW w:w="693" w:type="dxa"/>
            <w:vMerge/>
            <w:shd w:val="clear" w:color="auto" w:fill="auto"/>
            <w:vAlign w:val="center"/>
            <w:hideMark/>
          </w:tcPr>
          <w:p w14:paraId="6F4E75F2"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300FA92B"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63D9B1F5"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1.1.9</w:t>
            </w:r>
          </w:p>
        </w:tc>
        <w:tc>
          <w:tcPr>
            <w:tcW w:w="4954" w:type="dxa"/>
            <w:shd w:val="clear" w:color="auto" w:fill="auto"/>
            <w:noWrap/>
            <w:vAlign w:val="center"/>
            <w:hideMark/>
          </w:tcPr>
          <w:p w14:paraId="318CEDF4"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资产补偿</w:t>
            </w:r>
          </w:p>
        </w:tc>
      </w:tr>
      <w:tr w:rsidR="00B236E9" w:rsidRPr="000D03B4" w14:paraId="3679938C" w14:textId="77777777" w:rsidTr="00421709">
        <w:trPr>
          <w:trHeight w:val="20"/>
        </w:trPr>
        <w:tc>
          <w:tcPr>
            <w:tcW w:w="693" w:type="dxa"/>
            <w:vMerge/>
            <w:shd w:val="clear" w:color="auto" w:fill="auto"/>
            <w:vAlign w:val="center"/>
            <w:hideMark/>
          </w:tcPr>
          <w:p w14:paraId="168221F7"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195DAC6B"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39AC3460"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1.1.10</w:t>
            </w:r>
          </w:p>
        </w:tc>
        <w:tc>
          <w:tcPr>
            <w:tcW w:w="4954" w:type="dxa"/>
            <w:shd w:val="clear" w:color="auto" w:fill="auto"/>
            <w:noWrap/>
            <w:vAlign w:val="center"/>
            <w:hideMark/>
          </w:tcPr>
          <w:p w14:paraId="1E6226DC"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资产涉讼</w:t>
            </w:r>
          </w:p>
        </w:tc>
      </w:tr>
      <w:tr w:rsidR="00B236E9" w:rsidRPr="000D03B4" w14:paraId="7A424A8F" w14:textId="77777777" w:rsidTr="00421709">
        <w:trPr>
          <w:trHeight w:val="20"/>
        </w:trPr>
        <w:tc>
          <w:tcPr>
            <w:tcW w:w="693" w:type="dxa"/>
            <w:vMerge/>
            <w:shd w:val="clear" w:color="auto" w:fill="auto"/>
            <w:vAlign w:val="center"/>
            <w:hideMark/>
          </w:tcPr>
          <w:p w14:paraId="711E4297"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30ED87CD"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237FA182"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1.1.11</w:t>
            </w:r>
          </w:p>
        </w:tc>
        <w:tc>
          <w:tcPr>
            <w:tcW w:w="4954" w:type="dxa"/>
            <w:shd w:val="clear" w:color="auto" w:fill="auto"/>
            <w:noWrap/>
            <w:vAlign w:val="center"/>
            <w:hideMark/>
          </w:tcPr>
          <w:p w14:paraId="7263D07D"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对外投资</w:t>
            </w:r>
          </w:p>
        </w:tc>
      </w:tr>
      <w:tr w:rsidR="00B236E9" w:rsidRPr="000D03B4" w14:paraId="124EC050" w14:textId="77777777" w:rsidTr="00421709">
        <w:trPr>
          <w:trHeight w:val="20"/>
        </w:trPr>
        <w:tc>
          <w:tcPr>
            <w:tcW w:w="693" w:type="dxa"/>
            <w:vMerge/>
            <w:shd w:val="clear" w:color="auto" w:fill="auto"/>
            <w:vAlign w:val="center"/>
            <w:hideMark/>
          </w:tcPr>
          <w:p w14:paraId="5C335997"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3900E99F"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730F4496"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1.1.12</w:t>
            </w:r>
          </w:p>
        </w:tc>
        <w:tc>
          <w:tcPr>
            <w:tcW w:w="4954" w:type="dxa"/>
            <w:shd w:val="clear" w:color="auto" w:fill="auto"/>
            <w:noWrap/>
            <w:vAlign w:val="center"/>
            <w:hideMark/>
          </w:tcPr>
          <w:p w14:paraId="2BC727CD"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接受投资</w:t>
            </w:r>
          </w:p>
        </w:tc>
      </w:tr>
      <w:tr w:rsidR="00B236E9" w:rsidRPr="000D03B4" w14:paraId="5DE8D637" w14:textId="77777777" w:rsidTr="00421709">
        <w:trPr>
          <w:trHeight w:val="20"/>
        </w:trPr>
        <w:tc>
          <w:tcPr>
            <w:tcW w:w="693" w:type="dxa"/>
            <w:vMerge/>
            <w:shd w:val="clear" w:color="auto" w:fill="auto"/>
            <w:vAlign w:val="center"/>
            <w:hideMark/>
          </w:tcPr>
          <w:p w14:paraId="7234728F"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611BCC50"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0279F65A"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1.1.13</w:t>
            </w:r>
          </w:p>
        </w:tc>
        <w:tc>
          <w:tcPr>
            <w:tcW w:w="4954" w:type="dxa"/>
            <w:shd w:val="clear" w:color="auto" w:fill="auto"/>
            <w:noWrap/>
            <w:vAlign w:val="center"/>
            <w:hideMark/>
          </w:tcPr>
          <w:p w14:paraId="1BEC93A5"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接受抵债资产</w:t>
            </w:r>
          </w:p>
        </w:tc>
      </w:tr>
      <w:tr w:rsidR="00B236E9" w:rsidRPr="000D03B4" w14:paraId="1219BC1A" w14:textId="77777777" w:rsidTr="00421709">
        <w:trPr>
          <w:trHeight w:val="20"/>
        </w:trPr>
        <w:tc>
          <w:tcPr>
            <w:tcW w:w="693" w:type="dxa"/>
            <w:vMerge/>
            <w:shd w:val="clear" w:color="auto" w:fill="auto"/>
            <w:vAlign w:val="center"/>
            <w:hideMark/>
          </w:tcPr>
          <w:p w14:paraId="486EF271"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6357B98E"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37767AFE"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1.1.14</w:t>
            </w:r>
          </w:p>
        </w:tc>
        <w:tc>
          <w:tcPr>
            <w:tcW w:w="4954" w:type="dxa"/>
            <w:shd w:val="clear" w:color="auto" w:fill="auto"/>
            <w:noWrap/>
            <w:vAlign w:val="center"/>
            <w:hideMark/>
          </w:tcPr>
          <w:p w14:paraId="57592628"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债务重组</w:t>
            </w:r>
          </w:p>
        </w:tc>
      </w:tr>
      <w:tr w:rsidR="00B236E9" w:rsidRPr="000D03B4" w14:paraId="2EDA70FE" w14:textId="77777777" w:rsidTr="00421709">
        <w:trPr>
          <w:trHeight w:val="20"/>
        </w:trPr>
        <w:tc>
          <w:tcPr>
            <w:tcW w:w="693" w:type="dxa"/>
            <w:vMerge/>
            <w:shd w:val="clear" w:color="auto" w:fill="auto"/>
            <w:vAlign w:val="center"/>
            <w:hideMark/>
          </w:tcPr>
          <w:p w14:paraId="0051F6AF"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637144C1"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0B678E43"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1.1.15</w:t>
            </w:r>
          </w:p>
        </w:tc>
        <w:tc>
          <w:tcPr>
            <w:tcW w:w="4954" w:type="dxa"/>
            <w:shd w:val="clear" w:color="auto" w:fill="auto"/>
            <w:noWrap/>
            <w:vAlign w:val="center"/>
            <w:hideMark/>
          </w:tcPr>
          <w:p w14:paraId="1EC962A7"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公司制改建</w:t>
            </w:r>
          </w:p>
        </w:tc>
      </w:tr>
      <w:tr w:rsidR="00B236E9" w:rsidRPr="000D03B4" w14:paraId="0B37A63E" w14:textId="77777777" w:rsidTr="00421709">
        <w:trPr>
          <w:trHeight w:val="20"/>
        </w:trPr>
        <w:tc>
          <w:tcPr>
            <w:tcW w:w="693" w:type="dxa"/>
            <w:vMerge/>
            <w:shd w:val="clear" w:color="auto" w:fill="auto"/>
            <w:vAlign w:val="center"/>
            <w:hideMark/>
          </w:tcPr>
          <w:p w14:paraId="0D2D8F54"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27E02ED5"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5E716663"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1.1.16</w:t>
            </w:r>
          </w:p>
        </w:tc>
        <w:tc>
          <w:tcPr>
            <w:tcW w:w="4954" w:type="dxa"/>
            <w:shd w:val="clear" w:color="auto" w:fill="auto"/>
            <w:noWrap/>
            <w:vAlign w:val="center"/>
            <w:hideMark/>
          </w:tcPr>
          <w:p w14:paraId="3F71C8F8"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企业合并</w:t>
            </w:r>
          </w:p>
        </w:tc>
      </w:tr>
      <w:tr w:rsidR="00B236E9" w:rsidRPr="000D03B4" w14:paraId="1D891237" w14:textId="77777777" w:rsidTr="00421709">
        <w:trPr>
          <w:trHeight w:val="20"/>
        </w:trPr>
        <w:tc>
          <w:tcPr>
            <w:tcW w:w="693" w:type="dxa"/>
            <w:vMerge/>
            <w:shd w:val="clear" w:color="auto" w:fill="auto"/>
            <w:vAlign w:val="center"/>
            <w:hideMark/>
          </w:tcPr>
          <w:p w14:paraId="70F14B52"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73E38ED5"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7BEB7FEE"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1.1.17</w:t>
            </w:r>
          </w:p>
        </w:tc>
        <w:tc>
          <w:tcPr>
            <w:tcW w:w="4954" w:type="dxa"/>
            <w:shd w:val="clear" w:color="auto" w:fill="auto"/>
            <w:noWrap/>
            <w:vAlign w:val="center"/>
            <w:hideMark/>
          </w:tcPr>
          <w:p w14:paraId="1497C5B9"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企业分立</w:t>
            </w:r>
          </w:p>
        </w:tc>
      </w:tr>
      <w:tr w:rsidR="00B236E9" w:rsidRPr="000D03B4" w14:paraId="28E0F062" w14:textId="77777777" w:rsidTr="00421709">
        <w:trPr>
          <w:trHeight w:val="20"/>
        </w:trPr>
        <w:tc>
          <w:tcPr>
            <w:tcW w:w="693" w:type="dxa"/>
            <w:vMerge/>
            <w:shd w:val="clear" w:color="auto" w:fill="auto"/>
            <w:vAlign w:val="center"/>
            <w:hideMark/>
          </w:tcPr>
          <w:p w14:paraId="2E8C90D0"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619C4451"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42F5BF94"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1.1.18</w:t>
            </w:r>
          </w:p>
        </w:tc>
        <w:tc>
          <w:tcPr>
            <w:tcW w:w="4954" w:type="dxa"/>
            <w:shd w:val="clear" w:color="auto" w:fill="auto"/>
            <w:noWrap/>
            <w:vAlign w:val="center"/>
            <w:hideMark/>
          </w:tcPr>
          <w:p w14:paraId="68C356AC"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企业破产</w:t>
            </w:r>
          </w:p>
        </w:tc>
      </w:tr>
      <w:tr w:rsidR="00B236E9" w:rsidRPr="000D03B4" w14:paraId="307DB84C" w14:textId="77777777" w:rsidTr="00421709">
        <w:trPr>
          <w:trHeight w:val="20"/>
        </w:trPr>
        <w:tc>
          <w:tcPr>
            <w:tcW w:w="693" w:type="dxa"/>
            <w:vMerge/>
            <w:shd w:val="clear" w:color="auto" w:fill="auto"/>
            <w:vAlign w:val="center"/>
            <w:hideMark/>
          </w:tcPr>
          <w:p w14:paraId="5872A8A8"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41BD12B1"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0D82EC17"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1.1.19</w:t>
            </w:r>
          </w:p>
        </w:tc>
        <w:tc>
          <w:tcPr>
            <w:tcW w:w="4954" w:type="dxa"/>
            <w:shd w:val="clear" w:color="auto" w:fill="auto"/>
            <w:noWrap/>
            <w:vAlign w:val="center"/>
            <w:hideMark/>
          </w:tcPr>
          <w:p w14:paraId="72A7F562"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企业清算</w:t>
            </w:r>
          </w:p>
        </w:tc>
      </w:tr>
      <w:tr w:rsidR="00B236E9" w:rsidRPr="000D03B4" w14:paraId="5826E5BA" w14:textId="77777777" w:rsidTr="00421709">
        <w:trPr>
          <w:trHeight w:val="20"/>
        </w:trPr>
        <w:tc>
          <w:tcPr>
            <w:tcW w:w="693" w:type="dxa"/>
            <w:vMerge/>
            <w:shd w:val="clear" w:color="auto" w:fill="auto"/>
            <w:vAlign w:val="center"/>
            <w:hideMark/>
          </w:tcPr>
          <w:p w14:paraId="621413A6"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3742B18E"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14A25DCB"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1.1.20</w:t>
            </w:r>
          </w:p>
        </w:tc>
        <w:tc>
          <w:tcPr>
            <w:tcW w:w="4954" w:type="dxa"/>
            <w:shd w:val="clear" w:color="auto" w:fill="auto"/>
            <w:noWrap/>
            <w:vAlign w:val="center"/>
            <w:hideMark/>
          </w:tcPr>
          <w:p w14:paraId="33F4F9FB"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企业解散</w:t>
            </w:r>
          </w:p>
        </w:tc>
      </w:tr>
      <w:tr w:rsidR="00B236E9" w:rsidRPr="000D03B4" w14:paraId="3F3EEA6B" w14:textId="77777777" w:rsidTr="00421709">
        <w:trPr>
          <w:trHeight w:val="20"/>
        </w:trPr>
        <w:tc>
          <w:tcPr>
            <w:tcW w:w="693" w:type="dxa"/>
            <w:vMerge/>
            <w:shd w:val="clear" w:color="auto" w:fill="auto"/>
            <w:vAlign w:val="center"/>
            <w:hideMark/>
          </w:tcPr>
          <w:p w14:paraId="6747FEB6"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50038CC5"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333C36B0"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1.1.21</w:t>
            </w:r>
          </w:p>
        </w:tc>
        <w:tc>
          <w:tcPr>
            <w:tcW w:w="4954" w:type="dxa"/>
            <w:shd w:val="clear" w:color="auto" w:fill="auto"/>
            <w:noWrap/>
            <w:vAlign w:val="center"/>
            <w:hideMark/>
          </w:tcPr>
          <w:p w14:paraId="280ABE9A"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增资扩股</w:t>
            </w:r>
          </w:p>
        </w:tc>
      </w:tr>
      <w:tr w:rsidR="00B236E9" w:rsidRPr="000D03B4" w14:paraId="075D76BB" w14:textId="77777777" w:rsidTr="00421709">
        <w:trPr>
          <w:trHeight w:val="20"/>
        </w:trPr>
        <w:tc>
          <w:tcPr>
            <w:tcW w:w="693" w:type="dxa"/>
            <w:vMerge/>
            <w:shd w:val="clear" w:color="auto" w:fill="auto"/>
            <w:vAlign w:val="center"/>
            <w:hideMark/>
          </w:tcPr>
          <w:p w14:paraId="6BB3E7DB"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6FD2A65B"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7F44DD2D"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1.1.22</w:t>
            </w:r>
          </w:p>
        </w:tc>
        <w:tc>
          <w:tcPr>
            <w:tcW w:w="4954" w:type="dxa"/>
            <w:shd w:val="clear" w:color="auto" w:fill="auto"/>
            <w:noWrap/>
            <w:vAlign w:val="center"/>
            <w:hideMark/>
          </w:tcPr>
          <w:p w14:paraId="0FE60BC0" w14:textId="768D788E"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IPO</w:t>
            </w:r>
          </w:p>
        </w:tc>
      </w:tr>
      <w:tr w:rsidR="00B236E9" w:rsidRPr="000D03B4" w14:paraId="1C9DA093" w14:textId="77777777" w:rsidTr="00421709">
        <w:trPr>
          <w:trHeight w:val="20"/>
        </w:trPr>
        <w:tc>
          <w:tcPr>
            <w:tcW w:w="693" w:type="dxa"/>
            <w:vMerge/>
            <w:shd w:val="clear" w:color="auto" w:fill="auto"/>
            <w:vAlign w:val="center"/>
            <w:hideMark/>
          </w:tcPr>
          <w:p w14:paraId="27A09D55"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57C07E99"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0EC5A0AE"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1.1.23</w:t>
            </w:r>
          </w:p>
        </w:tc>
        <w:tc>
          <w:tcPr>
            <w:tcW w:w="4954" w:type="dxa"/>
            <w:shd w:val="clear" w:color="auto" w:fill="auto"/>
            <w:noWrap/>
            <w:vAlign w:val="center"/>
            <w:hideMark/>
          </w:tcPr>
          <w:p w14:paraId="4EB1F8AB"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股权转让</w:t>
            </w:r>
          </w:p>
        </w:tc>
      </w:tr>
      <w:tr w:rsidR="00B236E9" w:rsidRPr="000D03B4" w14:paraId="6385B480" w14:textId="77777777" w:rsidTr="00EC198A">
        <w:trPr>
          <w:trHeight w:val="453"/>
        </w:trPr>
        <w:tc>
          <w:tcPr>
            <w:tcW w:w="693" w:type="dxa"/>
            <w:vMerge/>
            <w:shd w:val="clear" w:color="auto" w:fill="auto"/>
            <w:vAlign w:val="center"/>
            <w:hideMark/>
          </w:tcPr>
          <w:p w14:paraId="6625E2D2"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567B6DB3"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582C5CF1"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1.1.24</w:t>
            </w:r>
          </w:p>
        </w:tc>
        <w:tc>
          <w:tcPr>
            <w:tcW w:w="4954" w:type="dxa"/>
            <w:shd w:val="clear" w:color="auto" w:fill="auto"/>
            <w:noWrap/>
            <w:vAlign w:val="center"/>
            <w:hideMark/>
          </w:tcPr>
          <w:p w14:paraId="38F67F7D"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债转股</w:t>
            </w:r>
          </w:p>
        </w:tc>
      </w:tr>
      <w:tr w:rsidR="00B236E9" w:rsidRPr="000D03B4" w14:paraId="0AFD7703" w14:textId="77777777" w:rsidTr="00421709">
        <w:trPr>
          <w:trHeight w:val="20"/>
        </w:trPr>
        <w:tc>
          <w:tcPr>
            <w:tcW w:w="693" w:type="dxa"/>
            <w:vMerge w:val="restart"/>
            <w:shd w:val="clear" w:color="auto" w:fill="auto"/>
            <w:noWrap/>
            <w:vAlign w:val="center"/>
            <w:hideMark/>
          </w:tcPr>
          <w:p w14:paraId="1B6A8764"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lastRenderedPageBreak/>
              <w:t>1.2</w:t>
            </w:r>
          </w:p>
        </w:tc>
        <w:tc>
          <w:tcPr>
            <w:tcW w:w="2031" w:type="dxa"/>
            <w:vMerge w:val="restart"/>
            <w:shd w:val="clear" w:color="auto" w:fill="auto"/>
            <w:noWrap/>
            <w:vAlign w:val="center"/>
            <w:hideMark/>
          </w:tcPr>
          <w:p w14:paraId="60D8C897"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国有企业</w:t>
            </w:r>
          </w:p>
        </w:tc>
        <w:tc>
          <w:tcPr>
            <w:tcW w:w="1099" w:type="dxa"/>
            <w:shd w:val="clear" w:color="auto" w:fill="auto"/>
            <w:noWrap/>
            <w:vAlign w:val="center"/>
            <w:hideMark/>
          </w:tcPr>
          <w:p w14:paraId="77942AB5"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1.2.1</w:t>
            </w:r>
          </w:p>
        </w:tc>
        <w:tc>
          <w:tcPr>
            <w:tcW w:w="4954" w:type="dxa"/>
            <w:shd w:val="clear" w:color="auto" w:fill="auto"/>
            <w:noWrap/>
            <w:vAlign w:val="center"/>
            <w:hideMark/>
          </w:tcPr>
          <w:p w14:paraId="0A376A80"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中央企业的股权投资</w:t>
            </w:r>
          </w:p>
        </w:tc>
      </w:tr>
      <w:tr w:rsidR="00B236E9" w:rsidRPr="000D03B4" w14:paraId="62C53D6D" w14:textId="77777777" w:rsidTr="00421709">
        <w:trPr>
          <w:trHeight w:val="20"/>
        </w:trPr>
        <w:tc>
          <w:tcPr>
            <w:tcW w:w="693" w:type="dxa"/>
            <w:vMerge/>
            <w:shd w:val="clear" w:color="auto" w:fill="auto"/>
            <w:vAlign w:val="center"/>
            <w:hideMark/>
          </w:tcPr>
          <w:p w14:paraId="38CB5EA5"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6CFAAE64"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680112FC"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1.2.2</w:t>
            </w:r>
          </w:p>
        </w:tc>
        <w:tc>
          <w:tcPr>
            <w:tcW w:w="4954" w:type="dxa"/>
            <w:shd w:val="clear" w:color="auto" w:fill="auto"/>
            <w:noWrap/>
            <w:vAlign w:val="center"/>
            <w:hideMark/>
          </w:tcPr>
          <w:p w14:paraId="0C4233AD"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国有控股混合所有制企业员工以科技成果出资</w:t>
            </w:r>
          </w:p>
        </w:tc>
      </w:tr>
      <w:tr w:rsidR="00B236E9" w:rsidRPr="000D03B4" w14:paraId="52064A1D" w14:textId="77777777" w:rsidTr="00421709">
        <w:trPr>
          <w:trHeight w:val="20"/>
        </w:trPr>
        <w:tc>
          <w:tcPr>
            <w:tcW w:w="693" w:type="dxa"/>
            <w:vMerge/>
            <w:shd w:val="clear" w:color="auto" w:fill="auto"/>
            <w:vAlign w:val="center"/>
            <w:hideMark/>
          </w:tcPr>
          <w:p w14:paraId="43D266AC"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79B9B9C9"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65194409"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1.2.3</w:t>
            </w:r>
          </w:p>
        </w:tc>
        <w:tc>
          <w:tcPr>
            <w:tcW w:w="4954" w:type="dxa"/>
            <w:shd w:val="clear" w:color="auto" w:fill="auto"/>
            <w:noWrap/>
            <w:vAlign w:val="center"/>
            <w:hideMark/>
          </w:tcPr>
          <w:p w14:paraId="1553FC64"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国有控股混合所有制企业员工入股价格确定</w:t>
            </w:r>
          </w:p>
        </w:tc>
      </w:tr>
      <w:tr w:rsidR="00B236E9" w:rsidRPr="000D03B4" w14:paraId="595C85D8" w14:textId="77777777" w:rsidTr="00421709">
        <w:trPr>
          <w:trHeight w:val="20"/>
        </w:trPr>
        <w:tc>
          <w:tcPr>
            <w:tcW w:w="693" w:type="dxa"/>
            <w:vMerge/>
            <w:shd w:val="clear" w:color="auto" w:fill="auto"/>
            <w:vAlign w:val="center"/>
            <w:hideMark/>
          </w:tcPr>
          <w:p w14:paraId="565626CE"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421B98BC"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37BF2D5A"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1.2.4</w:t>
            </w:r>
          </w:p>
        </w:tc>
        <w:tc>
          <w:tcPr>
            <w:tcW w:w="4954" w:type="dxa"/>
            <w:shd w:val="clear" w:color="auto" w:fill="auto"/>
            <w:noWrap/>
            <w:vAlign w:val="center"/>
            <w:hideMark/>
          </w:tcPr>
          <w:p w14:paraId="3C3BB35B"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国有科技型企业股权出售</w:t>
            </w:r>
          </w:p>
        </w:tc>
      </w:tr>
      <w:tr w:rsidR="00B236E9" w:rsidRPr="000D03B4" w14:paraId="6F95C480" w14:textId="77777777" w:rsidTr="00421709">
        <w:trPr>
          <w:trHeight w:val="20"/>
        </w:trPr>
        <w:tc>
          <w:tcPr>
            <w:tcW w:w="693" w:type="dxa"/>
            <w:vMerge/>
            <w:shd w:val="clear" w:color="auto" w:fill="auto"/>
            <w:vAlign w:val="center"/>
            <w:hideMark/>
          </w:tcPr>
          <w:p w14:paraId="4D879CDD"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6699AB9D"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3059A45E"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1.2.5</w:t>
            </w:r>
          </w:p>
        </w:tc>
        <w:tc>
          <w:tcPr>
            <w:tcW w:w="4954" w:type="dxa"/>
            <w:shd w:val="clear" w:color="auto" w:fill="auto"/>
            <w:noWrap/>
            <w:vAlign w:val="center"/>
            <w:hideMark/>
          </w:tcPr>
          <w:p w14:paraId="7A036710"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国有科技型企业用于股权奖励的激励额折合股权确定</w:t>
            </w:r>
          </w:p>
        </w:tc>
      </w:tr>
      <w:tr w:rsidR="00B236E9" w:rsidRPr="000D03B4" w14:paraId="0DDC108A" w14:textId="77777777" w:rsidTr="00421709">
        <w:trPr>
          <w:trHeight w:val="20"/>
        </w:trPr>
        <w:tc>
          <w:tcPr>
            <w:tcW w:w="693" w:type="dxa"/>
            <w:vMerge/>
            <w:shd w:val="clear" w:color="auto" w:fill="auto"/>
            <w:vAlign w:val="center"/>
            <w:hideMark/>
          </w:tcPr>
          <w:p w14:paraId="5FA04DB9"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23D2895A"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5EEBFEAF"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1.2.6</w:t>
            </w:r>
          </w:p>
        </w:tc>
        <w:tc>
          <w:tcPr>
            <w:tcW w:w="4954" w:type="dxa"/>
            <w:shd w:val="clear" w:color="auto" w:fill="auto"/>
            <w:noWrap/>
            <w:vAlign w:val="center"/>
            <w:hideMark/>
          </w:tcPr>
          <w:p w14:paraId="1E967A3C"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中央企业及其所有的科技型企业股权出售</w:t>
            </w:r>
          </w:p>
        </w:tc>
      </w:tr>
      <w:tr w:rsidR="00B236E9" w:rsidRPr="000D03B4" w14:paraId="52BAA740" w14:textId="77777777" w:rsidTr="00421709">
        <w:trPr>
          <w:trHeight w:val="20"/>
        </w:trPr>
        <w:tc>
          <w:tcPr>
            <w:tcW w:w="693" w:type="dxa"/>
            <w:vMerge/>
            <w:shd w:val="clear" w:color="auto" w:fill="auto"/>
            <w:vAlign w:val="center"/>
            <w:hideMark/>
          </w:tcPr>
          <w:p w14:paraId="4E732F36"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33E7037C"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407D6FDB"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1.2.7</w:t>
            </w:r>
          </w:p>
        </w:tc>
        <w:tc>
          <w:tcPr>
            <w:tcW w:w="4954" w:type="dxa"/>
            <w:shd w:val="clear" w:color="auto" w:fill="auto"/>
            <w:noWrap/>
            <w:vAlign w:val="center"/>
            <w:hideMark/>
          </w:tcPr>
          <w:p w14:paraId="27390D29"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中央企业及其所有的科技型企业股权奖励</w:t>
            </w:r>
          </w:p>
        </w:tc>
      </w:tr>
      <w:tr w:rsidR="00B236E9" w:rsidRPr="000D03B4" w14:paraId="790C9EA2" w14:textId="77777777" w:rsidTr="00421709">
        <w:trPr>
          <w:trHeight w:val="20"/>
        </w:trPr>
        <w:tc>
          <w:tcPr>
            <w:tcW w:w="693" w:type="dxa"/>
            <w:vMerge/>
            <w:shd w:val="clear" w:color="auto" w:fill="auto"/>
            <w:vAlign w:val="center"/>
            <w:hideMark/>
          </w:tcPr>
          <w:p w14:paraId="5DAF156B"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20D59B8A"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3DBCC5AA"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1.2.8</w:t>
            </w:r>
          </w:p>
        </w:tc>
        <w:tc>
          <w:tcPr>
            <w:tcW w:w="4954" w:type="dxa"/>
            <w:shd w:val="clear" w:color="auto" w:fill="auto"/>
            <w:noWrap/>
            <w:vAlign w:val="center"/>
            <w:hideMark/>
          </w:tcPr>
          <w:p w14:paraId="0DF7DE02"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w:t>
            </w:r>
            <w:r w:rsidRPr="000D03B4">
              <w:rPr>
                <w:rFonts w:eastAsiaTheme="majorEastAsia"/>
                <w:kern w:val="0"/>
                <w:sz w:val="18"/>
                <w:szCs w:val="18"/>
              </w:rPr>
              <w:t>僵尸企业</w:t>
            </w:r>
            <w:r w:rsidRPr="000D03B4">
              <w:rPr>
                <w:rFonts w:eastAsiaTheme="majorEastAsia"/>
                <w:kern w:val="0"/>
                <w:sz w:val="18"/>
                <w:szCs w:val="18"/>
              </w:rPr>
              <w:t>”</w:t>
            </w:r>
            <w:r w:rsidRPr="000D03B4">
              <w:rPr>
                <w:rFonts w:eastAsiaTheme="majorEastAsia"/>
                <w:kern w:val="0"/>
                <w:sz w:val="18"/>
                <w:szCs w:val="18"/>
              </w:rPr>
              <w:t>处置</w:t>
            </w:r>
          </w:p>
        </w:tc>
      </w:tr>
      <w:tr w:rsidR="00B236E9" w:rsidRPr="000D03B4" w14:paraId="44B257B0" w14:textId="77777777" w:rsidTr="00421709">
        <w:trPr>
          <w:trHeight w:val="20"/>
        </w:trPr>
        <w:tc>
          <w:tcPr>
            <w:tcW w:w="693" w:type="dxa"/>
            <w:vMerge/>
            <w:shd w:val="clear" w:color="auto" w:fill="auto"/>
            <w:vAlign w:val="center"/>
            <w:hideMark/>
          </w:tcPr>
          <w:p w14:paraId="742E979F"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3A7BA8D2"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35085615"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1.2.9</w:t>
            </w:r>
          </w:p>
        </w:tc>
        <w:tc>
          <w:tcPr>
            <w:tcW w:w="4954" w:type="dxa"/>
            <w:shd w:val="clear" w:color="auto" w:fill="auto"/>
            <w:noWrap/>
            <w:vAlign w:val="center"/>
            <w:hideMark/>
          </w:tcPr>
          <w:p w14:paraId="1BDB3CA5"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过剩产能资产处置</w:t>
            </w:r>
          </w:p>
        </w:tc>
      </w:tr>
      <w:tr w:rsidR="00B236E9" w:rsidRPr="000D03B4" w14:paraId="4BA14757" w14:textId="77777777" w:rsidTr="00421709">
        <w:trPr>
          <w:trHeight w:val="20"/>
        </w:trPr>
        <w:tc>
          <w:tcPr>
            <w:tcW w:w="693" w:type="dxa"/>
            <w:vMerge/>
            <w:shd w:val="clear" w:color="auto" w:fill="auto"/>
            <w:vAlign w:val="center"/>
            <w:hideMark/>
          </w:tcPr>
          <w:p w14:paraId="08DADB4D"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4F1BBCB6"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7623849B"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1.2.10</w:t>
            </w:r>
          </w:p>
        </w:tc>
        <w:tc>
          <w:tcPr>
            <w:tcW w:w="4954" w:type="dxa"/>
            <w:shd w:val="clear" w:color="auto" w:fill="auto"/>
            <w:noWrap/>
            <w:vAlign w:val="center"/>
            <w:hideMark/>
          </w:tcPr>
          <w:p w14:paraId="4BA31D21"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企业办医疗机构资产转让</w:t>
            </w:r>
          </w:p>
        </w:tc>
      </w:tr>
      <w:tr w:rsidR="00B236E9" w:rsidRPr="000D03B4" w14:paraId="7034221C" w14:textId="77777777" w:rsidTr="00421709">
        <w:trPr>
          <w:trHeight w:val="20"/>
        </w:trPr>
        <w:tc>
          <w:tcPr>
            <w:tcW w:w="693" w:type="dxa"/>
            <w:vMerge/>
            <w:shd w:val="clear" w:color="auto" w:fill="auto"/>
            <w:vAlign w:val="center"/>
            <w:hideMark/>
          </w:tcPr>
          <w:p w14:paraId="053AB1F8"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37CA3702"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63AD1F3E"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1.2.11</w:t>
            </w:r>
          </w:p>
        </w:tc>
        <w:tc>
          <w:tcPr>
            <w:tcW w:w="4954" w:type="dxa"/>
            <w:shd w:val="clear" w:color="auto" w:fill="auto"/>
            <w:noWrap/>
            <w:vAlign w:val="center"/>
            <w:hideMark/>
          </w:tcPr>
          <w:p w14:paraId="03946D5C"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企业办医疗机构产权转让</w:t>
            </w:r>
          </w:p>
        </w:tc>
      </w:tr>
      <w:tr w:rsidR="00B236E9" w:rsidRPr="000D03B4" w14:paraId="62660CE3" w14:textId="77777777" w:rsidTr="00421709">
        <w:trPr>
          <w:trHeight w:val="20"/>
        </w:trPr>
        <w:tc>
          <w:tcPr>
            <w:tcW w:w="693" w:type="dxa"/>
            <w:vMerge/>
            <w:shd w:val="clear" w:color="auto" w:fill="auto"/>
            <w:vAlign w:val="center"/>
            <w:hideMark/>
          </w:tcPr>
          <w:p w14:paraId="1B0D7526"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6E53F8B6"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26794A04"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1.2.12</w:t>
            </w:r>
          </w:p>
        </w:tc>
        <w:tc>
          <w:tcPr>
            <w:tcW w:w="4954" w:type="dxa"/>
            <w:shd w:val="clear" w:color="auto" w:fill="auto"/>
            <w:noWrap/>
            <w:vAlign w:val="center"/>
            <w:hideMark/>
          </w:tcPr>
          <w:p w14:paraId="16194483"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国有企业职工家属区</w:t>
            </w:r>
            <w:r w:rsidRPr="000D03B4">
              <w:rPr>
                <w:rFonts w:eastAsiaTheme="majorEastAsia"/>
                <w:kern w:val="0"/>
                <w:sz w:val="18"/>
                <w:szCs w:val="18"/>
              </w:rPr>
              <w:t>“</w:t>
            </w:r>
            <w:r w:rsidRPr="000D03B4">
              <w:rPr>
                <w:rFonts w:eastAsiaTheme="majorEastAsia"/>
                <w:kern w:val="0"/>
                <w:sz w:val="18"/>
                <w:szCs w:val="18"/>
              </w:rPr>
              <w:t>三供一业</w:t>
            </w:r>
            <w:r w:rsidRPr="000D03B4">
              <w:rPr>
                <w:rFonts w:eastAsiaTheme="majorEastAsia"/>
                <w:kern w:val="0"/>
                <w:sz w:val="18"/>
                <w:szCs w:val="18"/>
              </w:rPr>
              <w:t>”</w:t>
            </w:r>
            <w:r w:rsidRPr="000D03B4">
              <w:rPr>
                <w:rFonts w:eastAsiaTheme="majorEastAsia"/>
                <w:kern w:val="0"/>
                <w:sz w:val="18"/>
                <w:szCs w:val="18"/>
              </w:rPr>
              <w:t>分离移交</w:t>
            </w:r>
          </w:p>
        </w:tc>
      </w:tr>
      <w:tr w:rsidR="00B236E9" w:rsidRPr="000D03B4" w14:paraId="4D76324E" w14:textId="77777777" w:rsidTr="00421709">
        <w:trPr>
          <w:trHeight w:val="20"/>
        </w:trPr>
        <w:tc>
          <w:tcPr>
            <w:tcW w:w="693" w:type="dxa"/>
            <w:vMerge w:val="restart"/>
            <w:shd w:val="clear" w:color="auto" w:fill="auto"/>
            <w:noWrap/>
            <w:vAlign w:val="center"/>
            <w:hideMark/>
          </w:tcPr>
          <w:p w14:paraId="00093C42"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1.3</w:t>
            </w:r>
          </w:p>
        </w:tc>
        <w:tc>
          <w:tcPr>
            <w:tcW w:w="2031" w:type="dxa"/>
            <w:vMerge w:val="restart"/>
            <w:shd w:val="clear" w:color="auto" w:fill="auto"/>
            <w:noWrap/>
            <w:vAlign w:val="center"/>
            <w:hideMark/>
          </w:tcPr>
          <w:p w14:paraId="7D5950A4" w14:textId="71230852" w:rsidR="00B236E9" w:rsidRPr="000D03B4" w:rsidRDefault="00336595" w:rsidP="00A745DB">
            <w:pPr>
              <w:widowControl/>
              <w:snapToGrid w:val="0"/>
              <w:jc w:val="center"/>
              <w:rPr>
                <w:rFonts w:eastAsiaTheme="majorEastAsia"/>
                <w:kern w:val="0"/>
                <w:sz w:val="18"/>
                <w:szCs w:val="18"/>
              </w:rPr>
            </w:pPr>
            <w:r w:rsidRPr="000D03B4">
              <w:rPr>
                <w:rFonts w:eastAsiaTheme="majorEastAsia"/>
                <w:kern w:val="0"/>
                <w:sz w:val="18"/>
                <w:szCs w:val="18"/>
              </w:rPr>
              <w:t>国有</w:t>
            </w:r>
            <w:r w:rsidR="00B236E9" w:rsidRPr="000D03B4">
              <w:rPr>
                <w:rFonts w:eastAsiaTheme="majorEastAsia"/>
                <w:kern w:val="0"/>
                <w:sz w:val="18"/>
                <w:szCs w:val="18"/>
              </w:rPr>
              <w:t>金融企业</w:t>
            </w:r>
          </w:p>
        </w:tc>
        <w:tc>
          <w:tcPr>
            <w:tcW w:w="1099" w:type="dxa"/>
            <w:shd w:val="clear" w:color="auto" w:fill="auto"/>
            <w:noWrap/>
            <w:vAlign w:val="center"/>
            <w:hideMark/>
          </w:tcPr>
          <w:p w14:paraId="6677AB46"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1.3.1</w:t>
            </w:r>
          </w:p>
        </w:tc>
        <w:tc>
          <w:tcPr>
            <w:tcW w:w="4954" w:type="dxa"/>
            <w:shd w:val="clear" w:color="auto" w:fill="auto"/>
            <w:noWrap/>
            <w:vAlign w:val="center"/>
            <w:hideMark/>
          </w:tcPr>
          <w:p w14:paraId="17F2821C"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国有金融企业直接股权投资</w:t>
            </w:r>
          </w:p>
        </w:tc>
      </w:tr>
      <w:tr w:rsidR="00B236E9" w:rsidRPr="000D03B4" w14:paraId="67431D42" w14:textId="77777777" w:rsidTr="00421709">
        <w:trPr>
          <w:trHeight w:val="20"/>
        </w:trPr>
        <w:tc>
          <w:tcPr>
            <w:tcW w:w="693" w:type="dxa"/>
            <w:vMerge/>
            <w:shd w:val="clear" w:color="auto" w:fill="auto"/>
            <w:vAlign w:val="center"/>
            <w:hideMark/>
          </w:tcPr>
          <w:p w14:paraId="4A74B4C6"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7A47F2FB"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35418C55" w14:textId="2C56D6A6"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1.3.</w:t>
            </w:r>
            <w:r w:rsidR="00361DD5" w:rsidRPr="000D03B4">
              <w:rPr>
                <w:rFonts w:eastAsiaTheme="majorEastAsia"/>
                <w:kern w:val="0"/>
                <w:sz w:val="18"/>
                <w:szCs w:val="18"/>
              </w:rPr>
              <w:t>2</w:t>
            </w:r>
          </w:p>
        </w:tc>
        <w:tc>
          <w:tcPr>
            <w:tcW w:w="4954" w:type="dxa"/>
            <w:shd w:val="clear" w:color="auto" w:fill="auto"/>
            <w:noWrap/>
            <w:vAlign w:val="center"/>
            <w:hideMark/>
          </w:tcPr>
          <w:p w14:paraId="2EB16A2D"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市场化银行债权转股权</w:t>
            </w:r>
          </w:p>
        </w:tc>
      </w:tr>
      <w:tr w:rsidR="00B236E9" w:rsidRPr="000D03B4" w14:paraId="52B72A9B" w14:textId="77777777" w:rsidTr="00421709">
        <w:trPr>
          <w:trHeight w:val="20"/>
        </w:trPr>
        <w:tc>
          <w:tcPr>
            <w:tcW w:w="693" w:type="dxa"/>
            <w:vMerge w:val="restart"/>
            <w:shd w:val="clear" w:color="auto" w:fill="auto"/>
            <w:noWrap/>
            <w:vAlign w:val="center"/>
            <w:hideMark/>
          </w:tcPr>
          <w:p w14:paraId="14C64FCF"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1.4</w:t>
            </w:r>
          </w:p>
        </w:tc>
        <w:tc>
          <w:tcPr>
            <w:tcW w:w="2031" w:type="dxa"/>
            <w:vMerge w:val="restart"/>
            <w:shd w:val="clear" w:color="auto" w:fill="auto"/>
            <w:noWrap/>
            <w:vAlign w:val="center"/>
            <w:hideMark/>
          </w:tcPr>
          <w:p w14:paraId="16F08215"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中央文化企业</w:t>
            </w:r>
          </w:p>
        </w:tc>
        <w:tc>
          <w:tcPr>
            <w:tcW w:w="1099" w:type="dxa"/>
            <w:shd w:val="clear" w:color="auto" w:fill="auto"/>
            <w:noWrap/>
            <w:vAlign w:val="center"/>
            <w:hideMark/>
          </w:tcPr>
          <w:p w14:paraId="23BB16DA"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1.4.1</w:t>
            </w:r>
          </w:p>
        </w:tc>
        <w:tc>
          <w:tcPr>
            <w:tcW w:w="4954" w:type="dxa"/>
            <w:shd w:val="clear" w:color="auto" w:fill="auto"/>
            <w:noWrap/>
            <w:vAlign w:val="center"/>
            <w:hideMark/>
          </w:tcPr>
          <w:p w14:paraId="5B687E03" w14:textId="03E53D91"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经营性文化事业单位转制为企业</w:t>
            </w:r>
          </w:p>
        </w:tc>
      </w:tr>
      <w:tr w:rsidR="00B236E9" w:rsidRPr="000D03B4" w14:paraId="0CBDD9C8" w14:textId="77777777" w:rsidTr="00421709">
        <w:trPr>
          <w:trHeight w:val="20"/>
        </w:trPr>
        <w:tc>
          <w:tcPr>
            <w:tcW w:w="693" w:type="dxa"/>
            <w:vMerge/>
            <w:shd w:val="clear" w:color="auto" w:fill="auto"/>
            <w:vAlign w:val="center"/>
            <w:hideMark/>
          </w:tcPr>
          <w:p w14:paraId="57EA5D44"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5508D531"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4EE78A52"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1.4.2</w:t>
            </w:r>
          </w:p>
        </w:tc>
        <w:tc>
          <w:tcPr>
            <w:tcW w:w="4954" w:type="dxa"/>
            <w:shd w:val="clear" w:color="auto" w:fill="auto"/>
            <w:noWrap/>
            <w:vAlign w:val="center"/>
            <w:hideMark/>
          </w:tcPr>
          <w:p w14:paraId="23B25D9B"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中央文化企业改制</w:t>
            </w:r>
          </w:p>
        </w:tc>
      </w:tr>
      <w:tr w:rsidR="00B236E9" w:rsidRPr="000D03B4" w14:paraId="5363D665" w14:textId="77777777" w:rsidTr="00421709">
        <w:trPr>
          <w:trHeight w:val="20"/>
        </w:trPr>
        <w:tc>
          <w:tcPr>
            <w:tcW w:w="693" w:type="dxa"/>
            <w:vMerge/>
            <w:shd w:val="clear" w:color="auto" w:fill="auto"/>
            <w:vAlign w:val="center"/>
            <w:hideMark/>
          </w:tcPr>
          <w:p w14:paraId="6A58724B"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5E25A0A1"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64902437"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1.4.3</w:t>
            </w:r>
          </w:p>
        </w:tc>
        <w:tc>
          <w:tcPr>
            <w:tcW w:w="4954" w:type="dxa"/>
            <w:shd w:val="clear" w:color="auto" w:fill="auto"/>
            <w:noWrap/>
            <w:vAlign w:val="center"/>
            <w:hideMark/>
          </w:tcPr>
          <w:p w14:paraId="08CA491F"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中央文化企业产权转让</w:t>
            </w:r>
          </w:p>
        </w:tc>
      </w:tr>
      <w:tr w:rsidR="00B236E9" w:rsidRPr="000D03B4" w14:paraId="63FD2BE3" w14:textId="77777777" w:rsidTr="00421709">
        <w:trPr>
          <w:trHeight w:val="20"/>
        </w:trPr>
        <w:tc>
          <w:tcPr>
            <w:tcW w:w="693" w:type="dxa"/>
            <w:vMerge/>
            <w:shd w:val="clear" w:color="auto" w:fill="auto"/>
            <w:vAlign w:val="center"/>
            <w:hideMark/>
          </w:tcPr>
          <w:p w14:paraId="3824BA02"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7400A5FB"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57EC846B"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1.4.4</w:t>
            </w:r>
          </w:p>
        </w:tc>
        <w:tc>
          <w:tcPr>
            <w:tcW w:w="4954" w:type="dxa"/>
            <w:shd w:val="clear" w:color="auto" w:fill="auto"/>
            <w:noWrap/>
            <w:vAlign w:val="center"/>
            <w:hideMark/>
          </w:tcPr>
          <w:p w14:paraId="27A0EEFD"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中央文化企业增资</w:t>
            </w:r>
          </w:p>
        </w:tc>
      </w:tr>
      <w:tr w:rsidR="00B236E9" w:rsidRPr="000D03B4" w14:paraId="173F8A5D" w14:textId="77777777" w:rsidTr="00421709">
        <w:trPr>
          <w:trHeight w:val="20"/>
        </w:trPr>
        <w:tc>
          <w:tcPr>
            <w:tcW w:w="693" w:type="dxa"/>
            <w:vMerge/>
            <w:shd w:val="clear" w:color="auto" w:fill="auto"/>
            <w:vAlign w:val="center"/>
            <w:hideMark/>
          </w:tcPr>
          <w:p w14:paraId="0289845A"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70A71ED9"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565766D7"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1.4.5</w:t>
            </w:r>
          </w:p>
        </w:tc>
        <w:tc>
          <w:tcPr>
            <w:tcW w:w="4954" w:type="dxa"/>
            <w:shd w:val="clear" w:color="auto" w:fill="auto"/>
            <w:noWrap/>
            <w:vAlign w:val="center"/>
            <w:hideMark/>
          </w:tcPr>
          <w:p w14:paraId="7211282F"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中央文化企业资产转让</w:t>
            </w:r>
          </w:p>
        </w:tc>
      </w:tr>
      <w:tr w:rsidR="00E71ECE" w:rsidRPr="000D03B4" w14:paraId="69A52BA6" w14:textId="77777777" w:rsidTr="00421709">
        <w:trPr>
          <w:trHeight w:val="20"/>
        </w:trPr>
        <w:tc>
          <w:tcPr>
            <w:tcW w:w="693" w:type="dxa"/>
            <w:vMerge w:val="restart"/>
            <w:shd w:val="clear" w:color="auto" w:fill="auto"/>
            <w:noWrap/>
            <w:vAlign w:val="center"/>
            <w:hideMark/>
          </w:tcPr>
          <w:p w14:paraId="7BABCBDA" w14:textId="77777777" w:rsidR="00E71ECE" w:rsidRPr="000D03B4" w:rsidRDefault="00E71ECE" w:rsidP="00A745DB">
            <w:pPr>
              <w:widowControl/>
              <w:snapToGrid w:val="0"/>
              <w:jc w:val="center"/>
              <w:rPr>
                <w:rFonts w:eastAsiaTheme="majorEastAsia"/>
                <w:kern w:val="0"/>
                <w:sz w:val="18"/>
                <w:szCs w:val="18"/>
              </w:rPr>
            </w:pPr>
            <w:r w:rsidRPr="000D03B4">
              <w:rPr>
                <w:rFonts w:eastAsiaTheme="majorEastAsia"/>
                <w:kern w:val="0"/>
                <w:sz w:val="18"/>
                <w:szCs w:val="18"/>
              </w:rPr>
              <w:t>1.5</w:t>
            </w:r>
          </w:p>
        </w:tc>
        <w:tc>
          <w:tcPr>
            <w:tcW w:w="2031" w:type="dxa"/>
            <w:vMerge w:val="restart"/>
            <w:shd w:val="clear" w:color="auto" w:fill="auto"/>
            <w:noWrap/>
            <w:vAlign w:val="center"/>
            <w:hideMark/>
          </w:tcPr>
          <w:p w14:paraId="08B861A2" w14:textId="2AD73D92" w:rsidR="00E71ECE" w:rsidRPr="000D03B4" w:rsidRDefault="00E71ECE" w:rsidP="00E8413D">
            <w:pPr>
              <w:widowControl/>
              <w:snapToGrid w:val="0"/>
              <w:jc w:val="center"/>
              <w:rPr>
                <w:rFonts w:eastAsiaTheme="majorEastAsia"/>
                <w:kern w:val="0"/>
                <w:sz w:val="18"/>
                <w:szCs w:val="18"/>
              </w:rPr>
            </w:pPr>
            <w:r w:rsidRPr="000D03B4">
              <w:rPr>
                <w:rFonts w:eastAsiaTheme="majorEastAsia"/>
                <w:kern w:val="0"/>
                <w:sz w:val="18"/>
                <w:szCs w:val="18"/>
              </w:rPr>
              <w:t>上市公司及非上市公众公司</w:t>
            </w:r>
          </w:p>
        </w:tc>
        <w:tc>
          <w:tcPr>
            <w:tcW w:w="1099" w:type="dxa"/>
            <w:shd w:val="clear" w:color="auto" w:fill="auto"/>
            <w:noWrap/>
            <w:vAlign w:val="center"/>
            <w:hideMark/>
          </w:tcPr>
          <w:p w14:paraId="24864C02" w14:textId="77777777" w:rsidR="00E71ECE" w:rsidRPr="000D03B4" w:rsidRDefault="00E71ECE" w:rsidP="00A745DB">
            <w:pPr>
              <w:widowControl/>
              <w:snapToGrid w:val="0"/>
              <w:jc w:val="center"/>
              <w:rPr>
                <w:rFonts w:eastAsiaTheme="majorEastAsia"/>
                <w:kern w:val="0"/>
                <w:sz w:val="18"/>
                <w:szCs w:val="18"/>
              </w:rPr>
            </w:pPr>
            <w:r w:rsidRPr="000D03B4">
              <w:rPr>
                <w:rFonts w:eastAsiaTheme="majorEastAsia"/>
                <w:kern w:val="0"/>
                <w:sz w:val="18"/>
                <w:szCs w:val="18"/>
              </w:rPr>
              <w:t>1.5.1</w:t>
            </w:r>
          </w:p>
        </w:tc>
        <w:tc>
          <w:tcPr>
            <w:tcW w:w="4954" w:type="dxa"/>
            <w:shd w:val="clear" w:color="auto" w:fill="auto"/>
            <w:noWrap/>
            <w:vAlign w:val="center"/>
            <w:hideMark/>
          </w:tcPr>
          <w:p w14:paraId="4F1EBF7E" w14:textId="77777777" w:rsidR="00E71ECE" w:rsidRPr="000D03B4" w:rsidRDefault="00E71ECE" w:rsidP="00A745DB">
            <w:pPr>
              <w:widowControl/>
              <w:snapToGrid w:val="0"/>
              <w:rPr>
                <w:rFonts w:eastAsiaTheme="majorEastAsia"/>
                <w:kern w:val="0"/>
                <w:sz w:val="18"/>
                <w:szCs w:val="18"/>
              </w:rPr>
            </w:pPr>
            <w:r w:rsidRPr="000D03B4">
              <w:rPr>
                <w:rFonts w:eastAsiaTheme="majorEastAsia"/>
                <w:kern w:val="0"/>
                <w:sz w:val="18"/>
                <w:szCs w:val="18"/>
              </w:rPr>
              <w:t>资产重组</w:t>
            </w:r>
          </w:p>
        </w:tc>
      </w:tr>
      <w:tr w:rsidR="00E71ECE" w:rsidRPr="000D03B4" w14:paraId="50A54E42" w14:textId="77777777" w:rsidTr="00421709">
        <w:trPr>
          <w:trHeight w:val="20"/>
        </w:trPr>
        <w:tc>
          <w:tcPr>
            <w:tcW w:w="693" w:type="dxa"/>
            <w:vMerge/>
            <w:shd w:val="clear" w:color="auto" w:fill="auto"/>
            <w:vAlign w:val="center"/>
            <w:hideMark/>
          </w:tcPr>
          <w:p w14:paraId="00886835" w14:textId="77777777" w:rsidR="00E71ECE" w:rsidRPr="000D03B4" w:rsidRDefault="00E71ECE"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0C12781F" w14:textId="77777777" w:rsidR="00E71ECE" w:rsidRPr="000D03B4" w:rsidRDefault="00E71ECE"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3B96FFF3" w14:textId="77777777" w:rsidR="00E71ECE" w:rsidRPr="000D03B4" w:rsidRDefault="00E71ECE" w:rsidP="00A745DB">
            <w:pPr>
              <w:widowControl/>
              <w:snapToGrid w:val="0"/>
              <w:jc w:val="center"/>
              <w:rPr>
                <w:rFonts w:eastAsiaTheme="majorEastAsia"/>
                <w:kern w:val="0"/>
                <w:sz w:val="18"/>
                <w:szCs w:val="18"/>
              </w:rPr>
            </w:pPr>
            <w:r w:rsidRPr="000D03B4">
              <w:rPr>
                <w:rFonts w:eastAsiaTheme="majorEastAsia"/>
                <w:kern w:val="0"/>
                <w:sz w:val="18"/>
                <w:szCs w:val="18"/>
              </w:rPr>
              <w:t>1.5.2</w:t>
            </w:r>
          </w:p>
        </w:tc>
        <w:tc>
          <w:tcPr>
            <w:tcW w:w="4954" w:type="dxa"/>
            <w:shd w:val="clear" w:color="auto" w:fill="auto"/>
            <w:noWrap/>
            <w:vAlign w:val="center"/>
            <w:hideMark/>
          </w:tcPr>
          <w:p w14:paraId="2AE5E595" w14:textId="77777777" w:rsidR="00E71ECE" w:rsidRPr="000D03B4" w:rsidRDefault="00E71ECE" w:rsidP="00A745DB">
            <w:pPr>
              <w:widowControl/>
              <w:snapToGrid w:val="0"/>
              <w:rPr>
                <w:rFonts w:eastAsiaTheme="majorEastAsia"/>
                <w:kern w:val="0"/>
                <w:sz w:val="18"/>
                <w:szCs w:val="18"/>
              </w:rPr>
            </w:pPr>
            <w:r w:rsidRPr="000D03B4">
              <w:rPr>
                <w:rFonts w:eastAsiaTheme="majorEastAsia"/>
                <w:kern w:val="0"/>
                <w:sz w:val="18"/>
                <w:szCs w:val="18"/>
              </w:rPr>
              <w:t>业务重组</w:t>
            </w:r>
          </w:p>
        </w:tc>
      </w:tr>
      <w:tr w:rsidR="00E71ECE" w:rsidRPr="000D03B4" w14:paraId="483B8C3E" w14:textId="77777777" w:rsidTr="00421709">
        <w:trPr>
          <w:trHeight w:val="20"/>
        </w:trPr>
        <w:tc>
          <w:tcPr>
            <w:tcW w:w="693" w:type="dxa"/>
            <w:vMerge/>
            <w:shd w:val="clear" w:color="auto" w:fill="auto"/>
            <w:vAlign w:val="center"/>
            <w:hideMark/>
          </w:tcPr>
          <w:p w14:paraId="70B81E9A" w14:textId="77777777" w:rsidR="00E71ECE" w:rsidRPr="000D03B4" w:rsidRDefault="00E71ECE"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627AF7F9" w14:textId="77777777" w:rsidR="00E71ECE" w:rsidRPr="000D03B4" w:rsidRDefault="00E71ECE"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2287F961" w14:textId="77777777" w:rsidR="00E71ECE" w:rsidRPr="000D03B4" w:rsidRDefault="00E71ECE" w:rsidP="00A745DB">
            <w:pPr>
              <w:widowControl/>
              <w:snapToGrid w:val="0"/>
              <w:jc w:val="center"/>
              <w:rPr>
                <w:rFonts w:eastAsiaTheme="majorEastAsia"/>
                <w:kern w:val="0"/>
                <w:sz w:val="18"/>
                <w:szCs w:val="18"/>
              </w:rPr>
            </w:pPr>
            <w:r w:rsidRPr="000D03B4">
              <w:rPr>
                <w:rFonts w:eastAsiaTheme="majorEastAsia"/>
                <w:kern w:val="0"/>
                <w:sz w:val="18"/>
                <w:szCs w:val="18"/>
              </w:rPr>
              <w:t>1.5.3</w:t>
            </w:r>
          </w:p>
        </w:tc>
        <w:tc>
          <w:tcPr>
            <w:tcW w:w="4954" w:type="dxa"/>
            <w:shd w:val="clear" w:color="auto" w:fill="auto"/>
            <w:noWrap/>
            <w:vAlign w:val="center"/>
            <w:hideMark/>
          </w:tcPr>
          <w:p w14:paraId="5576C39F" w14:textId="77777777" w:rsidR="00E71ECE" w:rsidRPr="000D03B4" w:rsidRDefault="00E71ECE" w:rsidP="00A745DB">
            <w:pPr>
              <w:widowControl/>
              <w:snapToGrid w:val="0"/>
              <w:rPr>
                <w:rFonts w:eastAsiaTheme="majorEastAsia"/>
                <w:kern w:val="0"/>
                <w:sz w:val="18"/>
                <w:szCs w:val="18"/>
              </w:rPr>
            </w:pPr>
            <w:r w:rsidRPr="000D03B4">
              <w:rPr>
                <w:rFonts w:eastAsiaTheme="majorEastAsia"/>
                <w:kern w:val="0"/>
                <w:sz w:val="18"/>
                <w:szCs w:val="18"/>
              </w:rPr>
              <w:t>发行股份购买资产</w:t>
            </w:r>
          </w:p>
        </w:tc>
      </w:tr>
      <w:tr w:rsidR="00E71ECE" w:rsidRPr="000D03B4" w14:paraId="05417809" w14:textId="77777777" w:rsidTr="00421709">
        <w:trPr>
          <w:trHeight w:val="20"/>
        </w:trPr>
        <w:tc>
          <w:tcPr>
            <w:tcW w:w="693" w:type="dxa"/>
            <w:vMerge/>
            <w:shd w:val="clear" w:color="auto" w:fill="auto"/>
            <w:vAlign w:val="center"/>
            <w:hideMark/>
          </w:tcPr>
          <w:p w14:paraId="2F800C6D" w14:textId="77777777" w:rsidR="00E71ECE" w:rsidRPr="000D03B4" w:rsidRDefault="00E71ECE"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5E698CA2" w14:textId="77777777" w:rsidR="00E71ECE" w:rsidRPr="000D03B4" w:rsidRDefault="00E71ECE"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1245174B" w14:textId="77777777" w:rsidR="00E71ECE" w:rsidRPr="000D03B4" w:rsidRDefault="00E71ECE" w:rsidP="00A745DB">
            <w:pPr>
              <w:widowControl/>
              <w:snapToGrid w:val="0"/>
              <w:jc w:val="center"/>
              <w:rPr>
                <w:rFonts w:eastAsiaTheme="majorEastAsia"/>
                <w:kern w:val="0"/>
                <w:sz w:val="18"/>
                <w:szCs w:val="18"/>
              </w:rPr>
            </w:pPr>
            <w:r w:rsidRPr="000D03B4">
              <w:rPr>
                <w:rFonts w:eastAsiaTheme="majorEastAsia"/>
                <w:kern w:val="0"/>
                <w:sz w:val="18"/>
                <w:szCs w:val="18"/>
              </w:rPr>
              <w:t>1.5.4</w:t>
            </w:r>
          </w:p>
        </w:tc>
        <w:tc>
          <w:tcPr>
            <w:tcW w:w="4954" w:type="dxa"/>
            <w:shd w:val="clear" w:color="auto" w:fill="auto"/>
            <w:noWrap/>
            <w:vAlign w:val="center"/>
            <w:hideMark/>
          </w:tcPr>
          <w:p w14:paraId="7F9B560F" w14:textId="77777777" w:rsidR="00E71ECE" w:rsidRPr="000D03B4" w:rsidRDefault="00E71ECE" w:rsidP="00A745DB">
            <w:pPr>
              <w:widowControl/>
              <w:snapToGrid w:val="0"/>
              <w:rPr>
                <w:rFonts w:eastAsiaTheme="majorEastAsia"/>
                <w:kern w:val="0"/>
                <w:sz w:val="18"/>
                <w:szCs w:val="18"/>
              </w:rPr>
            </w:pPr>
            <w:r w:rsidRPr="000D03B4">
              <w:rPr>
                <w:rFonts w:eastAsiaTheme="majorEastAsia"/>
                <w:kern w:val="0"/>
                <w:sz w:val="18"/>
                <w:szCs w:val="18"/>
              </w:rPr>
              <w:t>定向增发</w:t>
            </w:r>
          </w:p>
        </w:tc>
      </w:tr>
      <w:tr w:rsidR="00E71ECE" w:rsidRPr="000D03B4" w14:paraId="6BD052A0" w14:textId="77777777" w:rsidTr="00421709">
        <w:trPr>
          <w:trHeight w:val="20"/>
        </w:trPr>
        <w:tc>
          <w:tcPr>
            <w:tcW w:w="693" w:type="dxa"/>
            <w:vMerge/>
            <w:shd w:val="clear" w:color="auto" w:fill="auto"/>
            <w:vAlign w:val="center"/>
            <w:hideMark/>
          </w:tcPr>
          <w:p w14:paraId="3BA6AB0A" w14:textId="77777777" w:rsidR="00E71ECE" w:rsidRPr="000D03B4" w:rsidRDefault="00E71ECE"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03FC7A33" w14:textId="77777777" w:rsidR="00E71ECE" w:rsidRPr="000D03B4" w:rsidRDefault="00E71ECE"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07E8A8A8" w14:textId="77777777" w:rsidR="00E71ECE" w:rsidRPr="000D03B4" w:rsidRDefault="00E71ECE" w:rsidP="00A745DB">
            <w:pPr>
              <w:widowControl/>
              <w:snapToGrid w:val="0"/>
              <w:jc w:val="center"/>
              <w:rPr>
                <w:rFonts w:eastAsiaTheme="majorEastAsia"/>
                <w:kern w:val="0"/>
                <w:sz w:val="18"/>
                <w:szCs w:val="18"/>
              </w:rPr>
            </w:pPr>
            <w:r w:rsidRPr="000D03B4">
              <w:rPr>
                <w:rFonts w:eastAsiaTheme="majorEastAsia"/>
                <w:kern w:val="0"/>
                <w:sz w:val="18"/>
                <w:szCs w:val="18"/>
              </w:rPr>
              <w:t>1.5.5</w:t>
            </w:r>
          </w:p>
        </w:tc>
        <w:tc>
          <w:tcPr>
            <w:tcW w:w="4954" w:type="dxa"/>
            <w:shd w:val="clear" w:color="auto" w:fill="auto"/>
            <w:noWrap/>
            <w:vAlign w:val="center"/>
            <w:hideMark/>
          </w:tcPr>
          <w:p w14:paraId="039AFC5E" w14:textId="77777777" w:rsidR="00E71ECE" w:rsidRPr="000D03B4" w:rsidRDefault="00E71ECE" w:rsidP="00A745DB">
            <w:pPr>
              <w:widowControl/>
              <w:snapToGrid w:val="0"/>
              <w:rPr>
                <w:rFonts w:eastAsiaTheme="majorEastAsia"/>
                <w:kern w:val="0"/>
                <w:sz w:val="18"/>
                <w:szCs w:val="18"/>
              </w:rPr>
            </w:pPr>
            <w:r w:rsidRPr="000D03B4">
              <w:rPr>
                <w:rFonts w:eastAsiaTheme="majorEastAsia"/>
                <w:kern w:val="0"/>
                <w:sz w:val="18"/>
                <w:szCs w:val="18"/>
              </w:rPr>
              <w:t>重大资产重组</w:t>
            </w:r>
          </w:p>
        </w:tc>
      </w:tr>
      <w:tr w:rsidR="00E71ECE" w:rsidRPr="000D03B4" w14:paraId="357AE647" w14:textId="77777777" w:rsidTr="00421709">
        <w:trPr>
          <w:trHeight w:val="20"/>
        </w:trPr>
        <w:tc>
          <w:tcPr>
            <w:tcW w:w="693" w:type="dxa"/>
            <w:vMerge/>
            <w:shd w:val="clear" w:color="auto" w:fill="auto"/>
            <w:vAlign w:val="center"/>
            <w:hideMark/>
          </w:tcPr>
          <w:p w14:paraId="31FEB1F9" w14:textId="77777777" w:rsidR="00E71ECE" w:rsidRPr="000D03B4" w:rsidRDefault="00E71ECE"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12FE5C06" w14:textId="77777777" w:rsidR="00E71ECE" w:rsidRPr="000D03B4" w:rsidRDefault="00E71ECE"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431D1F5B" w14:textId="77777777" w:rsidR="00E71ECE" w:rsidRPr="000D03B4" w:rsidRDefault="00E71ECE" w:rsidP="00A745DB">
            <w:pPr>
              <w:widowControl/>
              <w:snapToGrid w:val="0"/>
              <w:jc w:val="center"/>
              <w:rPr>
                <w:rFonts w:eastAsiaTheme="majorEastAsia"/>
                <w:kern w:val="0"/>
                <w:sz w:val="18"/>
                <w:szCs w:val="18"/>
              </w:rPr>
            </w:pPr>
            <w:r w:rsidRPr="000D03B4">
              <w:rPr>
                <w:rFonts w:eastAsiaTheme="majorEastAsia"/>
                <w:kern w:val="0"/>
                <w:sz w:val="18"/>
                <w:szCs w:val="18"/>
              </w:rPr>
              <w:t>1.5.6</w:t>
            </w:r>
          </w:p>
        </w:tc>
        <w:tc>
          <w:tcPr>
            <w:tcW w:w="4954" w:type="dxa"/>
            <w:shd w:val="clear" w:color="auto" w:fill="auto"/>
            <w:noWrap/>
            <w:vAlign w:val="center"/>
            <w:hideMark/>
          </w:tcPr>
          <w:p w14:paraId="4F48C358" w14:textId="77777777" w:rsidR="00E71ECE" w:rsidRPr="000D03B4" w:rsidRDefault="00E71ECE" w:rsidP="00A745DB">
            <w:pPr>
              <w:widowControl/>
              <w:snapToGrid w:val="0"/>
              <w:rPr>
                <w:rFonts w:eastAsiaTheme="majorEastAsia"/>
                <w:kern w:val="0"/>
                <w:sz w:val="18"/>
                <w:szCs w:val="18"/>
              </w:rPr>
            </w:pPr>
            <w:r w:rsidRPr="000D03B4">
              <w:rPr>
                <w:rFonts w:eastAsiaTheme="majorEastAsia"/>
                <w:kern w:val="0"/>
                <w:sz w:val="18"/>
                <w:szCs w:val="18"/>
              </w:rPr>
              <w:t>收购资产</w:t>
            </w:r>
          </w:p>
        </w:tc>
      </w:tr>
      <w:tr w:rsidR="00E71ECE" w:rsidRPr="000D03B4" w14:paraId="4D0251C4" w14:textId="77777777" w:rsidTr="00421709">
        <w:trPr>
          <w:trHeight w:val="20"/>
        </w:trPr>
        <w:tc>
          <w:tcPr>
            <w:tcW w:w="693" w:type="dxa"/>
            <w:vMerge/>
            <w:shd w:val="clear" w:color="auto" w:fill="auto"/>
            <w:noWrap/>
            <w:vAlign w:val="center"/>
          </w:tcPr>
          <w:p w14:paraId="03206265" w14:textId="77777777" w:rsidR="00E71ECE" w:rsidRPr="000D03B4" w:rsidRDefault="00E71ECE" w:rsidP="00A745DB">
            <w:pPr>
              <w:widowControl/>
              <w:snapToGrid w:val="0"/>
              <w:jc w:val="center"/>
              <w:rPr>
                <w:rFonts w:eastAsiaTheme="majorEastAsia"/>
                <w:kern w:val="0"/>
                <w:sz w:val="18"/>
                <w:szCs w:val="18"/>
              </w:rPr>
            </w:pPr>
          </w:p>
        </w:tc>
        <w:tc>
          <w:tcPr>
            <w:tcW w:w="2031" w:type="dxa"/>
            <w:vMerge/>
            <w:shd w:val="clear" w:color="auto" w:fill="auto"/>
            <w:noWrap/>
            <w:vAlign w:val="center"/>
          </w:tcPr>
          <w:p w14:paraId="0C6B6D96" w14:textId="77777777" w:rsidR="00E71ECE" w:rsidRPr="000D03B4" w:rsidRDefault="00E71ECE" w:rsidP="00A745DB">
            <w:pPr>
              <w:widowControl/>
              <w:snapToGrid w:val="0"/>
              <w:jc w:val="center"/>
              <w:rPr>
                <w:rFonts w:eastAsiaTheme="majorEastAsia"/>
                <w:kern w:val="0"/>
                <w:sz w:val="18"/>
                <w:szCs w:val="18"/>
              </w:rPr>
            </w:pPr>
          </w:p>
        </w:tc>
        <w:tc>
          <w:tcPr>
            <w:tcW w:w="1099" w:type="dxa"/>
            <w:shd w:val="clear" w:color="auto" w:fill="auto"/>
            <w:noWrap/>
            <w:vAlign w:val="center"/>
          </w:tcPr>
          <w:p w14:paraId="1057C7C3" w14:textId="68437E7F" w:rsidR="00E71ECE" w:rsidRPr="000D03B4" w:rsidRDefault="00E71ECE" w:rsidP="00A745DB">
            <w:pPr>
              <w:widowControl/>
              <w:snapToGrid w:val="0"/>
              <w:jc w:val="center"/>
              <w:rPr>
                <w:rFonts w:eastAsiaTheme="majorEastAsia"/>
                <w:kern w:val="0"/>
                <w:sz w:val="18"/>
                <w:szCs w:val="18"/>
              </w:rPr>
            </w:pPr>
            <w:r w:rsidRPr="000D03B4">
              <w:rPr>
                <w:rFonts w:eastAsiaTheme="majorEastAsia"/>
                <w:kern w:val="0"/>
                <w:sz w:val="18"/>
                <w:szCs w:val="18"/>
              </w:rPr>
              <w:t>1.5.7</w:t>
            </w:r>
          </w:p>
        </w:tc>
        <w:tc>
          <w:tcPr>
            <w:tcW w:w="4954" w:type="dxa"/>
            <w:shd w:val="clear" w:color="auto" w:fill="auto"/>
            <w:noWrap/>
            <w:vAlign w:val="center"/>
          </w:tcPr>
          <w:p w14:paraId="12972F68" w14:textId="62D15247" w:rsidR="00E71ECE" w:rsidRPr="000D03B4" w:rsidRDefault="00E71ECE" w:rsidP="00B96F13">
            <w:pPr>
              <w:widowControl/>
              <w:snapToGrid w:val="0"/>
              <w:rPr>
                <w:rFonts w:eastAsiaTheme="majorEastAsia"/>
                <w:kern w:val="0"/>
                <w:sz w:val="18"/>
                <w:szCs w:val="18"/>
              </w:rPr>
            </w:pPr>
            <w:r w:rsidRPr="000D03B4">
              <w:rPr>
                <w:rFonts w:eastAsiaTheme="majorEastAsia"/>
                <w:kern w:val="0"/>
                <w:sz w:val="18"/>
                <w:szCs w:val="18"/>
              </w:rPr>
              <w:t>外国投资者对上市公司战略投资</w:t>
            </w:r>
          </w:p>
        </w:tc>
      </w:tr>
      <w:tr w:rsidR="00B236E9" w:rsidRPr="000D03B4" w14:paraId="1E112CD0" w14:textId="77777777" w:rsidTr="00421709">
        <w:trPr>
          <w:trHeight w:val="20"/>
        </w:trPr>
        <w:tc>
          <w:tcPr>
            <w:tcW w:w="693" w:type="dxa"/>
            <w:vMerge w:val="restart"/>
            <w:shd w:val="clear" w:color="auto" w:fill="auto"/>
            <w:noWrap/>
            <w:vAlign w:val="center"/>
            <w:hideMark/>
          </w:tcPr>
          <w:p w14:paraId="46E10D6E"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1.6</w:t>
            </w:r>
          </w:p>
        </w:tc>
        <w:tc>
          <w:tcPr>
            <w:tcW w:w="2031" w:type="dxa"/>
            <w:vMerge w:val="restart"/>
            <w:shd w:val="clear" w:color="auto" w:fill="auto"/>
            <w:noWrap/>
            <w:vAlign w:val="center"/>
            <w:hideMark/>
          </w:tcPr>
          <w:p w14:paraId="42CD146B"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行政事业单位</w:t>
            </w:r>
          </w:p>
        </w:tc>
        <w:tc>
          <w:tcPr>
            <w:tcW w:w="1099" w:type="dxa"/>
            <w:shd w:val="clear" w:color="auto" w:fill="auto"/>
            <w:noWrap/>
            <w:vAlign w:val="center"/>
            <w:hideMark/>
          </w:tcPr>
          <w:p w14:paraId="50953672"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1.6.1</w:t>
            </w:r>
          </w:p>
        </w:tc>
        <w:tc>
          <w:tcPr>
            <w:tcW w:w="4954" w:type="dxa"/>
            <w:shd w:val="clear" w:color="auto" w:fill="auto"/>
            <w:noWrap/>
            <w:vAlign w:val="center"/>
            <w:hideMark/>
          </w:tcPr>
          <w:p w14:paraId="07568AA2"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资产清查</w:t>
            </w:r>
          </w:p>
        </w:tc>
      </w:tr>
      <w:tr w:rsidR="00B236E9" w:rsidRPr="000D03B4" w14:paraId="10FA5E31" w14:textId="77777777" w:rsidTr="00421709">
        <w:trPr>
          <w:trHeight w:val="20"/>
        </w:trPr>
        <w:tc>
          <w:tcPr>
            <w:tcW w:w="693" w:type="dxa"/>
            <w:vMerge/>
            <w:shd w:val="clear" w:color="auto" w:fill="auto"/>
            <w:vAlign w:val="center"/>
            <w:hideMark/>
          </w:tcPr>
          <w:p w14:paraId="13F0F7BD"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1E5CCEC6"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697555D9"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1.6.2</w:t>
            </w:r>
          </w:p>
        </w:tc>
        <w:tc>
          <w:tcPr>
            <w:tcW w:w="4954" w:type="dxa"/>
            <w:shd w:val="clear" w:color="auto" w:fill="auto"/>
            <w:noWrap/>
            <w:vAlign w:val="center"/>
            <w:hideMark/>
          </w:tcPr>
          <w:p w14:paraId="556B5074"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经营类事业单位整体或部分改制为有限责任公司或者股份有限公司</w:t>
            </w:r>
          </w:p>
        </w:tc>
      </w:tr>
      <w:tr w:rsidR="00B236E9" w:rsidRPr="000D03B4" w14:paraId="7D8C22A3" w14:textId="77777777" w:rsidTr="00421709">
        <w:trPr>
          <w:trHeight w:val="20"/>
        </w:trPr>
        <w:tc>
          <w:tcPr>
            <w:tcW w:w="693" w:type="dxa"/>
            <w:vMerge/>
            <w:shd w:val="clear" w:color="auto" w:fill="auto"/>
            <w:vAlign w:val="center"/>
            <w:hideMark/>
          </w:tcPr>
          <w:p w14:paraId="6FFC2E6D" w14:textId="77777777" w:rsidR="00B236E9" w:rsidRPr="000D03B4" w:rsidRDefault="00B236E9"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388E0761" w14:textId="77777777" w:rsidR="00B236E9" w:rsidRPr="000D03B4" w:rsidRDefault="00B236E9"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3BBDF0C6" w14:textId="77777777" w:rsidR="00B236E9" w:rsidRPr="000D03B4" w:rsidRDefault="00B236E9" w:rsidP="00A745DB">
            <w:pPr>
              <w:widowControl/>
              <w:snapToGrid w:val="0"/>
              <w:jc w:val="center"/>
              <w:rPr>
                <w:rFonts w:eastAsiaTheme="majorEastAsia"/>
                <w:kern w:val="0"/>
                <w:sz w:val="18"/>
                <w:szCs w:val="18"/>
              </w:rPr>
            </w:pPr>
            <w:r w:rsidRPr="000D03B4">
              <w:rPr>
                <w:rFonts w:eastAsiaTheme="majorEastAsia"/>
                <w:kern w:val="0"/>
                <w:sz w:val="18"/>
                <w:szCs w:val="18"/>
              </w:rPr>
              <w:t>1.6.3</w:t>
            </w:r>
          </w:p>
        </w:tc>
        <w:tc>
          <w:tcPr>
            <w:tcW w:w="4954" w:type="dxa"/>
            <w:shd w:val="clear" w:color="auto" w:fill="auto"/>
            <w:noWrap/>
            <w:vAlign w:val="center"/>
            <w:hideMark/>
          </w:tcPr>
          <w:p w14:paraId="00CAC249" w14:textId="77777777" w:rsidR="00B236E9" w:rsidRPr="000D03B4" w:rsidRDefault="00B236E9" w:rsidP="00A745DB">
            <w:pPr>
              <w:widowControl/>
              <w:snapToGrid w:val="0"/>
              <w:rPr>
                <w:rFonts w:eastAsiaTheme="majorEastAsia"/>
                <w:kern w:val="0"/>
                <w:sz w:val="18"/>
                <w:szCs w:val="18"/>
              </w:rPr>
            </w:pPr>
            <w:r w:rsidRPr="000D03B4">
              <w:rPr>
                <w:rFonts w:eastAsiaTheme="majorEastAsia"/>
                <w:kern w:val="0"/>
                <w:sz w:val="18"/>
                <w:szCs w:val="18"/>
              </w:rPr>
              <w:t>经营类事业单位国有资产处置</w:t>
            </w:r>
          </w:p>
        </w:tc>
      </w:tr>
      <w:tr w:rsidR="00070967" w:rsidRPr="000D03B4" w14:paraId="213FD8FB" w14:textId="77777777" w:rsidTr="00421709">
        <w:trPr>
          <w:trHeight w:val="20"/>
        </w:trPr>
        <w:tc>
          <w:tcPr>
            <w:tcW w:w="693" w:type="dxa"/>
            <w:vMerge w:val="restart"/>
            <w:shd w:val="clear" w:color="auto" w:fill="auto"/>
            <w:noWrap/>
            <w:vAlign w:val="center"/>
            <w:hideMark/>
          </w:tcPr>
          <w:p w14:paraId="7D7A2DAC" w14:textId="64F4BCAC" w:rsidR="00070967" w:rsidRPr="000D03B4" w:rsidRDefault="00070967" w:rsidP="00F4275A">
            <w:pPr>
              <w:widowControl/>
              <w:snapToGrid w:val="0"/>
              <w:jc w:val="center"/>
              <w:rPr>
                <w:rFonts w:eastAsiaTheme="majorEastAsia"/>
                <w:kern w:val="0"/>
                <w:sz w:val="18"/>
                <w:szCs w:val="18"/>
              </w:rPr>
            </w:pPr>
            <w:r w:rsidRPr="000D03B4">
              <w:rPr>
                <w:rFonts w:eastAsiaTheme="majorEastAsia"/>
                <w:kern w:val="0"/>
                <w:sz w:val="18"/>
                <w:szCs w:val="18"/>
              </w:rPr>
              <w:t>1.</w:t>
            </w:r>
            <w:r w:rsidR="00F4275A" w:rsidRPr="000D03B4">
              <w:rPr>
                <w:rFonts w:eastAsiaTheme="majorEastAsia"/>
                <w:kern w:val="0"/>
                <w:sz w:val="18"/>
                <w:szCs w:val="18"/>
              </w:rPr>
              <w:t>7</w:t>
            </w:r>
          </w:p>
        </w:tc>
        <w:tc>
          <w:tcPr>
            <w:tcW w:w="2031" w:type="dxa"/>
            <w:vMerge w:val="restart"/>
            <w:shd w:val="clear" w:color="auto" w:fill="auto"/>
            <w:noWrap/>
            <w:vAlign w:val="center"/>
            <w:hideMark/>
          </w:tcPr>
          <w:p w14:paraId="53371BA4" w14:textId="77777777" w:rsidR="00070967" w:rsidRPr="000D03B4" w:rsidRDefault="00070967" w:rsidP="00A745DB">
            <w:pPr>
              <w:widowControl/>
              <w:snapToGrid w:val="0"/>
              <w:jc w:val="center"/>
              <w:rPr>
                <w:rFonts w:eastAsiaTheme="majorEastAsia"/>
                <w:kern w:val="0"/>
                <w:sz w:val="18"/>
                <w:szCs w:val="18"/>
              </w:rPr>
            </w:pPr>
            <w:r w:rsidRPr="000D03B4">
              <w:rPr>
                <w:rFonts w:eastAsiaTheme="majorEastAsia"/>
                <w:kern w:val="0"/>
                <w:sz w:val="18"/>
                <w:szCs w:val="18"/>
              </w:rPr>
              <w:t>企业</w:t>
            </w:r>
          </w:p>
        </w:tc>
        <w:tc>
          <w:tcPr>
            <w:tcW w:w="1099" w:type="dxa"/>
            <w:shd w:val="clear" w:color="auto" w:fill="auto"/>
            <w:noWrap/>
            <w:vAlign w:val="center"/>
            <w:hideMark/>
          </w:tcPr>
          <w:p w14:paraId="042C3BAC" w14:textId="3675085D" w:rsidR="00070967" w:rsidRPr="000D03B4" w:rsidRDefault="00070967" w:rsidP="00826129">
            <w:pPr>
              <w:widowControl/>
              <w:snapToGrid w:val="0"/>
              <w:jc w:val="center"/>
              <w:rPr>
                <w:rFonts w:eastAsiaTheme="majorEastAsia"/>
                <w:kern w:val="0"/>
                <w:sz w:val="18"/>
                <w:szCs w:val="18"/>
              </w:rPr>
            </w:pPr>
            <w:r w:rsidRPr="000D03B4">
              <w:rPr>
                <w:rFonts w:eastAsiaTheme="majorEastAsia"/>
                <w:kern w:val="0"/>
                <w:sz w:val="18"/>
                <w:szCs w:val="18"/>
              </w:rPr>
              <w:t>1.</w:t>
            </w:r>
            <w:r w:rsidR="00826129" w:rsidRPr="000D03B4">
              <w:rPr>
                <w:rFonts w:eastAsiaTheme="majorEastAsia"/>
                <w:kern w:val="0"/>
                <w:sz w:val="18"/>
                <w:szCs w:val="18"/>
              </w:rPr>
              <w:t>7</w:t>
            </w:r>
            <w:r w:rsidRPr="000D03B4">
              <w:rPr>
                <w:rFonts w:eastAsiaTheme="majorEastAsia"/>
                <w:kern w:val="0"/>
                <w:sz w:val="18"/>
                <w:szCs w:val="18"/>
              </w:rPr>
              <w:t>.1</w:t>
            </w:r>
          </w:p>
        </w:tc>
        <w:tc>
          <w:tcPr>
            <w:tcW w:w="4954" w:type="dxa"/>
            <w:shd w:val="clear" w:color="auto" w:fill="auto"/>
            <w:noWrap/>
            <w:vAlign w:val="center"/>
            <w:hideMark/>
          </w:tcPr>
          <w:p w14:paraId="2FF9E7D6" w14:textId="10431A4D" w:rsidR="00070967" w:rsidRPr="000D03B4" w:rsidRDefault="00B96F13" w:rsidP="00A745DB">
            <w:pPr>
              <w:widowControl/>
              <w:snapToGrid w:val="0"/>
              <w:rPr>
                <w:rFonts w:eastAsiaTheme="majorEastAsia"/>
                <w:kern w:val="0"/>
                <w:sz w:val="18"/>
                <w:szCs w:val="18"/>
              </w:rPr>
            </w:pPr>
            <w:r w:rsidRPr="000D03B4">
              <w:rPr>
                <w:rFonts w:eastAsiaTheme="majorEastAsia"/>
                <w:kern w:val="0"/>
                <w:sz w:val="18"/>
                <w:szCs w:val="18"/>
              </w:rPr>
              <w:t>商誉减值测试</w:t>
            </w:r>
          </w:p>
        </w:tc>
      </w:tr>
      <w:tr w:rsidR="00070967" w:rsidRPr="000D03B4" w14:paraId="421965F4" w14:textId="77777777" w:rsidTr="00421709">
        <w:trPr>
          <w:trHeight w:val="20"/>
        </w:trPr>
        <w:tc>
          <w:tcPr>
            <w:tcW w:w="693" w:type="dxa"/>
            <w:vMerge/>
            <w:shd w:val="clear" w:color="auto" w:fill="auto"/>
            <w:vAlign w:val="center"/>
            <w:hideMark/>
          </w:tcPr>
          <w:p w14:paraId="2973DFAA" w14:textId="77777777" w:rsidR="00070967" w:rsidRPr="000D03B4" w:rsidRDefault="00070967"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5D58455D" w14:textId="77777777" w:rsidR="00070967" w:rsidRPr="000D03B4" w:rsidRDefault="00070967"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1E69DB00" w14:textId="6C01C094" w:rsidR="00070967"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1.7</w:t>
            </w:r>
            <w:r w:rsidR="00070967" w:rsidRPr="000D03B4">
              <w:rPr>
                <w:rFonts w:eastAsiaTheme="majorEastAsia"/>
                <w:kern w:val="0"/>
                <w:sz w:val="18"/>
                <w:szCs w:val="18"/>
              </w:rPr>
              <w:t>.2</w:t>
            </w:r>
          </w:p>
        </w:tc>
        <w:tc>
          <w:tcPr>
            <w:tcW w:w="4954" w:type="dxa"/>
            <w:shd w:val="clear" w:color="auto" w:fill="auto"/>
            <w:noWrap/>
            <w:vAlign w:val="center"/>
            <w:hideMark/>
          </w:tcPr>
          <w:p w14:paraId="5E035D26" w14:textId="77777777" w:rsidR="00070967" w:rsidRPr="000D03B4" w:rsidRDefault="00070967" w:rsidP="00A745DB">
            <w:pPr>
              <w:widowControl/>
              <w:snapToGrid w:val="0"/>
              <w:rPr>
                <w:rFonts w:eastAsiaTheme="majorEastAsia"/>
                <w:kern w:val="0"/>
                <w:sz w:val="18"/>
                <w:szCs w:val="18"/>
              </w:rPr>
            </w:pPr>
            <w:r w:rsidRPr="000D03B4">
              <w:rPr>
                <w:rFonts w:eastAsiaTheme="majorEastAsia"/>
                <w:kern w:val="0"/>
                <w:sz w:val="18"/>
                <w:szCs w:val="18"/>
              </w:rPr>
              <w:t>其他资产或资产组减值测试</w:t>
            </w:r>
          </w:p>
        </w:tc>
      </w:tr>
      <w:tr w:rsidR="00070967" w:rsidRPr="000D03B4" w14:paraId="6A64DD25" w14:textId="77777777" w:rsidTr="00421709">
        <w:trPr>
          <w:trHeight w:val="20"/>
        </w:trPr>
        <w:tc>
          <w:tcPr>
            <w:tcW w:w="693" w:type="dxa"/>
            <w:vMerge/>
            <w:shd w:val="clear" w:color="auto" w:fill="auto"/>
            <w:vAlign w:val="center"/>
            <w:hideMark/>
          </w:tcPr>
          <w:p w14:paraId="636911BD" w14:textId="77777777" w:rsidR="00070967" w:rsidRPr="000D03B4" w:rsidRDefault="00070967"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50DA602B" w14:textId="77777777" w:rsidR="00070967" w:rsidRPr="000D03B4" w:rsidRDefault="00070967"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64A829A9" w14:textId="15E488CB" w:rsidR="00070967"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1.7</w:t>
            </w:r>
            <w:r w:rsidR="00070967" w:rsidRPr="000D03B4">
              <w:rPr>
                <w:rFonts w:eastAsiaTheme="majorEastAsia"/>
                <w:kern w:val="0"/>
                <w:sz w:val="18"/>
                <w:szCs w:val="18"/>
              </w:rPr>
              <w:t>.3</w:t>
            </w:r>
          </w:p>
        </w:tc>
        <w:tc>
          <w:tcPr>
            <w:tcW w:w="4954" w:type="dxa"/>
            <w:shd w:val="clear" w:color="auto" w:fill="auto"/>
            <w:noWrap/>
            <w:vAlign w:val="center"/>
            <w:hideMark/>
          </w:tcPr>
          <w:p w14:paraId="225322A5" w14:textId="77777777" w:rsidR="00070967" w:rsidRPr="000D03B4" w:rsidRDefault="00070967" w:rsidP="00A745DB">
            <w:pPr>
              <w:widowControl/>
              <w:snapToGrid w:val="0"/>
              <w:rPr>
                <w:rFonts w:eastAsiaTheme="majorEastAsia"/>
                <w:kern w:val="0"/>
                <w:sz w:val="18"/>
                <w:szCs w:val="18"/>
              </w:rPr>
            </w:pPr>
            <w:r w:rsidRPr="000D03B4">
              <w:rPr>
                <w:rFonts w:eastAsiaTheme="majorEastAsia"/>
                <w:kern w:val="0"/>
                <w:sz w:val="18"/>
                <w:szCs w:val="18"/>
              </w:rPr>
              <w:t>非货币性资产公允价值评估</w:t>
            </w:r>
          </w:p>
        </w:tc>
      </w:tr>
      <w:tr w:rsidR="00070967" w:rsidRPr="000D03B4" w14:paraId="18ACF1EF" w14:textId="77777777" w:rsidTr="00421709">
        <w:trPr>
          <w:trHeight w:val="20"/>
        </w:trPr>
        <w:tc>
          <w:tcPr>
            <w:tcW w:w="693" w:type="dxa"/>
            <w:vMerge/>
            <w:shd w:val="clear" w:color="auto" w:fill="auto"/>
            <w:vAlign w:val="center"/>
            <w:hideMark/>
          </w:tcPr>
          <w:p w14:paraId="3A84C00A" w14:textId="77777777" w:rsidR="00070967" w:rsidRPr="000D03B4" w:rsidRDefault="00070967"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11C8132E" w14:textId="77777777" w:rsidR="00070967" w:rsidRPr="000D03B4" w:rsidRDefault="00070967"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4394937E" w14:textId="4AEF2EB1" w:rsidR="00070967"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1.7</w:t>
            </w:r>
            <w:r w:rsidR="00070967" w:rsidRPr="000D03B4">
              <w:rPr>
                <w:rFonts w:eastAsiaTheme="majorEastAsia"/>
                <w:kern w:val="0"/>
                <w:sz w:val="18"/>
                <w:szCs w:val="18"/>
              </w:rPr>
              <w:t>.4</w:t>
            </w:r>
          </w:p>
        </w:tc>
        <w:tc>
          <w:tcPr>
            <w:tcW w:w="4954" w:type="dxa"/>
            <w:shd w:val="clear" w:color="auto" w:fill="auto"/>
            <w:noWrap/>
            <w:vAlign w:val="center"/>
            <w:hideMark/>
          </w:tcPr>
          <w:p w14:paraId="35EB2310" w14:textId="77777777" w:rsidR="00070967" w:rsidRPr="000D03B4" w:rsidRDefault="00070967" w:rsidP="00A745DB">
            <w:pPr>
              <w:widowControl/>
              <w:snapToGrid w:val="0"/>
              <w:rPr>
                <w:rFonts w:eastAsiaTheme="majorEastAsia"/>
                <w:kern w:val="0"/>
                <w:sz w:val="18"/>
                <w:szCs w:val="18"/>
              </w:rPr>
            </w:pPr>
            <w:r w:rsidRPr="000D03B4">
              <w:rPr>
                <w:rFonts w:eastAsiaTheme="majorEastAsia"/>
                <w:kern w:val="0"/>
                <w:sz w:val="18"/>
                <w:szCs w:val="18"/>
              </w:rPr>
              <w:t>金融工具公允价值评估</w:t>
            </w:r>
          </w:p>
        </w:tc>
      </w:tr>
      <w:tr w:rsidR="00070967" w:rsidRPr="000D03B4" w14:paraId="75F67A80" w14:textId="77777777" w:rsidTr="00421709">
        <w:trPr>
          <w:trHeight w:val="20"/>
        </w:trPr>
        <w:tc>
          <w:tcPr>
            <w:tcW w:w="693" w:type="dxa"/>
            <w:vMerge/>
            <w:shd w:val="clear" w:color="auto" w:fill="auto"/>
            <w:vAlign w:val="center"/>
            <w:hideMark/>
          </w:tcPr>
          <w:p w14:paraId="3DCA1E7D" w14:textId="77777777" w:rsidR="00070967" w:rsidRPr="000D03B4" w:rsidRDefault="00070967"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0E0071E3" w14:textId="77777777" w:rsidR="00070967" w:rsidRPr="000D03B4" w:rsidRDefault="00070967"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421DC816" w14:textId="68E02E28" w:rsidR="00070967"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1.7</w:t>
            </w:r>
            <w:r w:rsidR="00070967" w:rsidRPr="000D03B4">
              <w:rPr>
                <w:rFonts w:eastAsiaTheme="majorEastAsia"/>
                <w:kern w:val="0"/>
                <w:sz w:val="18"/>
                <w:szCs w:val="18"/>
              </w:rPr>
              <w:t>.5</w:t>
            </w:r>
          </w:p>
        </w:tc>
        <w:tc>
          <w:tcPr>
            <w:tcW w:w="4954" w:type="dxa"/>
            <w:shd w:val="clear" w:color="auto" w:fill="auto"/>
            <w:noWrap/>
            <w:vAlign w:val="center"/>
            <w:hideMark/>
          </w:tcPr>
          <w:p w14:paraId="0B91DDCB" w14:textId="77777777" w:rsidR="00070967" w:rsidRPr="000D03B4" w:rsidRDefault="00070967" w:rsidP="00A745DB">
            <w:pPr>
              <w:widowControl/>
              <w:snapToGrid w:val="0"/>
              <w:rPr>
                <w:rFonts w:eastAsiaTheme="majorEastAsia"/>
                <w:kern w:val="0"/>
                <w:sz w:val="18"/>
                <w:szCs w:val="18"/>
              </w:rPr>
            </w:pPr>
            <w:r w:rsidRPr="000D03B4">
              <w:rPr>
                <w:rFonts w:eastAsiaTheme="majorEastAsia"/>
                <w:kern w:val="0"/>
                <w:sz w:val="18"/>
                <w:szCs w:val="18"/>
              </w:rPr>
              <w:t>基金估值</w:t>
            </w:r>
          </w:p>
        </w:tc>
      </w:tr>
      <w:tr w:rsidR="00070967" w:rsidRPr="000D03B4" w14:paraId="5ED2B35A" w14:textId="77777777" w:rsidTr="00421709">
        <w:trPr>
          <w:trHeight w:val="20"/>
        </w:trPr>
        <w:tc>
          <w:tcPr>
            <w:tcW w:w="693" w:type="dxa"/>
            <w:vMerge/>
            <w:shd w:val="clear" w:color="auto" w:fill="auto"/>
            <w:vAlign w:val="center"/>
            <w:hideMark/>
          </w:tcPr>
          <w:p w14:paraId="0BC684D4" w14:textId="77777777" w:rsidR="00070967" w:rsidRPr="000D03B4" w:rsidRDefault="00070967"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59E26419" w14:textId="77777777" w:rsidR="00070967" w:rsidRPr="000D03B4" w:rsidRDefault="00070967" w:rsidP="00A745DB">
            <w:pPr>
              <w:widowControl/>
              <w:snapToGrid w:val="0"/>
              <w:jc w:val="center"/>
              <w:rPr>
                <w:rFonts w:eastAsiaTheme="majorEastAsia"/>
                <w:kern w:val="0"/>
                <w:sz w:val="18"/>
                <w:szCs w:val="18"/>
              </w:rPr>
            </w:pPr>
          </w:p>
        </w:tc>
        <w:tc>
          <w:tcPr>
            <w:tcW w:w="1099" w:type="dxa"/>
            <w:shd w:val="clear" w:color="auto" w:fill="auto"/>
            <w:noWrap/>
            <w:vAlign w:val="center"/>
            <w:hideMark/>
          </w:tcPr>
          <w:p w14:paraId="5D26FDEE" w14:textId="3357B284" w:rsidR="00070967"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1.7</w:t>
            </w:r>
            <w:r w:rsidR="00070967" w:rsidRPr="000D03B4">
              <w:rPr>
                <w:rFonts w:eastAsiaTheme="majorEastAsia"/>
                <w:kern w:val="0"/>
                <w:sz w:val="18"/>
                <w:szCs w:val="18"/>
              </w:rPr>
              <w:t>.6</w:t>
            </w:r>
          </w:p>
        </w:tc>
        <w:tc>
          <w:tcPr>
            <w:tcW w:w="4954" w:type="dxa"/>
            <w:shd w:val="clear" w:color="auto" w:fill="auto"/>
            <w:noWrap/>
            <w:vAlign w:val="center"/>
            <w:hideMark/>
          </w:tcPr>
          <w:p w14:paraId="3BE86E0D" w14:textId="77777777" w:rsidR="00070967" w:rsidRPr="000D03B4" w:rsidRDefault="00070967" w:rsidP="00A745DB">
            <w:pPr>
              <w:widowControl/>
              <w:snapToGrid w:val="0"/>
              <w:rPr>
                <w:rFonts w:eastAsiaTheme="majorEastAsia"/>
                <w:kern w:val="0"/>
                <w:sz w:val="18"/>
                <w:szCs w:val="18"/>
              </w:rPr>
            </w:pPr>
            <w:r w:rsidRPr="000D03B4">
              <w:rPr>
                <w:rFonts w:eastAsiaTheme="majorEastAsia"/>
                <w:kern w:val="0"/>
                <w:sz w:val="18"/>
                <w:szCs w:val="18"/>
              </w:rPr>
              <w:t>合并对价分摊评估</w:t>
            </w:r>
          </w:p>
        </w:tc>
      </w:tr>
      <w:tr w:rsidR="00070967" w:rsidRPr="000D03B4" w14:paraId="5224C64F" w14:textId="77777777" w:rsidTr="00421709">
        <w:trPr>
          <w:trHeight w:val="20"/>
        </w:trPr>
        <w:tc>
          <w:tcPr>
            <w:tcW w:w="693" w:type="dxa"/>
            <w:vMerge/>
            <w:shd w:val="clear" w:color="auto" w:fill="auto"/>
            <w:vAlign w:val="center"/>
            <w:hideMark/>
          </w:tcPr>
          <w:p w14:paraId="54375A3D" w14:textId="77777777" w:rsidR="00070967" w:rsidRPr="000D03B4" w:rsidRDefault="00070967" w:rsidP="00A745DB">
            <w:pPr>
              <w:widowControl/>
              <w:snapToGrid w:val="0"/>
              <w:jc w:val="center"/>
              <w:rPr>
                <w:rFonts w:eastAsiaTheme="majorEastAsia"/>
                <w:kern w:val="0"/>
                <w:sz w:val="18"/>
                <w:szCs w:val="18"/>
              </w:rPr>
            </w:pPr>
          </w:p>
        </w:tc>
        <w:tc>
          <w:tcPr>
            <w:tcW w:w="2031" w:type="dxa"/>
            <w:vMerge/>
            <w:shd w:val="clear" w:color="auto" w:fill="auto"/>
            <w:vAlign w:val="center"/>
            <w:hideMark/>
          </w:tcPr>
          <w:p w14:paraId="6A8DA821" w14:textId="77777777" w:rsidR="00070967" w:rsidRPr="000D03B4" w:rsidRDefault="00070967" w:rsidP="00A745DB">
            <w:pPr>
              <w:widowControl/>
              <w:snapToGrid w:val="0"/>
              <w:jc w:val="center"/>
              <w:rPr>
                <w:rFonts w:eastAsiaTheme="majorEastAsia"/>
                <w:kern w:val="0"/>
                <w:sz w:val="18"/>
                <w:szCs w:val="18"/>
              </w:rPr>
            </w:pPr>
          </w:p>
        </w:tc>
        <w:tc>
          <w:tcPr>
            <w:tcW w:w="1099" w:type="dxa"/>
            <w:shd w:val="clear" w:color="auto" w:fill="auto"/>
            <w:noWrap/>
            <w:vAlign w:val="center"/>
          </w:tcPr>
          <w:p w14:paraId="5777EF40" w14:textId="0F877543" w:rsidR="00070967"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1.7</w:t>
            </w:r>
            <w:r w:rsidR="00070967" w:rsidRPr="000D03B4">
              <w:rPr>
                <w:rFonts w:eastAsiaTheme="majorEastAsia"/>
                <w:kern w:val="0"/>
                <w:sz w:val="18"/>
                <w:szCs w:val="18"/>
              </w:rPr>
              <w:t>.7</w:t>
            </w:r>
          </w:p>
        </w:tc>
        <w:tc>
          <w:tcPr>
            <w:tcW w:w="4954" w:type="dxa"/>
            <w:shd w:val="clear" w:color="auto" w:fill="auto"/>
            <w:noWrap/>
            <w:vAlign w:val="center"/>
          </w:tcPr>
          <w:p w14:paraId="2F224E5B" w14:textId="37B3E482" w:rsidR="00070967" w:rsidRPr="000D03B4" w:rsidRDefault="00070967" w:rsidP="00A745DB">
            <w:pPr>
              <w:widowControl/>
              <w:snapToGrid w:val="0"/>
              <w:rPr>
                <w:rFonts w:eastAsiaTheme="majorEastAsia"/>
                <w:kern w:val="0"/>
                <w:sz w:val="18"/>
                <w:szCs w:val="18"/>
              </w:rPr>
            </w:pPr>
            <w:r w:rsidRPr="000D03B4">
              <w:rPr>
                <w:rFonts w:eastAsiaTheme="majorEastAsia"/>
                <w:kern w:val="0"/>
                <w:sz w:val="18"/>
                <w:szCs w:val="18"/>
              </w:rPr>
              <w:t>金融企业抵押物管理及评估</w:t>
            </w:r>
          </w:p>
        </w:tc>
      </w:tr>
      <w:tr w:rsidR="00070967" w:rsidRPr="000D03B4" w14:paraId="25B2E268" w14:textId="77777777" w:rsidTr="00464350">
        <w:trPr>
          <w:trHeight w:val="20"/>
        </w:trPr>
        <w:tc>
          <w:tcPr>
            <w:tcW w:w="693" w:type="dxa"/>
            <w:vMerge/>
            <w:tcBorders>
              <w:bottom w:val="single" w:sz="4" w:space="0" w:color="auto"/>
            </w:tcBorders>
            <w:shd w:val="clear" w:color="auto" w:fill="auto"/>
            <w:noWrap/>
            <w:vAlign w:val="center"/>
          </w:tcPr>
          <w:p w14:paraId="5BE0215D" w14:textId="77777777" w:rsidR="00070967" w:rsidRPr="000D03B4" w:rsidRDefault="00070967" w:rsidP="00A745DB">
            <w:pPr>
              <w:widowControl/>
              <w:snapToGrid w:val="0"/>
              <w:jc w:val="center"/>
              <w:rPr>
                <w:rFonts w:eastAsiaTheme="majorEastAsia"/>
                <w:kern w:val="0"/>
                <w:sz w:val="18"/>
                <w:szCs w:val="18"/>
              </w:rPr>
            </w:pPr>
          </w:p>
        </w:tc>
        <w:tc>
          <w:tcPr>
            <w:tcW w:w="2031" w:type="dxa"/>
            <w:vMerge/>
            <w:tcBorders>
              <w:bottom w:val="single" w:sz="4" w:space="0" w:color="auto"/>
            </w:tcBorders>
            <w:shd w:val="clear" w:color="auto" w:fill="auto"/>
            <w:noWrap/>
            <w:vAlign w:val="center"/>
          </w:tcPr>
          <w:p w14:paraId="406CC8B9" w14:textId="77777777" w:rsidR="00070967" w:rsidRPr="000D03B4" w:rsidRDefault="00070967" w:rsidP="00A745DB">
            <w:pPr>
              <w:widowControl/>
              <w:snapToGrid w:val="0"/>
              <w:jc w:val="center"/>
              <w:rPr>
                <w:rFonts w:eastAsiaTheme="majorEastAsia"/>
                <w:kern w:val="0"/>
                <w:sz w:val="18"/>
                <w:szCs w:val="18"/>
              </w:rPr>
            </w:pPr>
          </w:p>
        </w:tc>
        <w:tc>
          <w:tcPr>
            <w:tcW w:w="1099" w:type="dxa"/>
            <w:tcBorders>
              <w:bottom w:val="single" w:sz="4" w:space="0" w:color="auto"/>
            </w:tcBorders>
            <w:shd w:val="clear" w:color="auto" w:fill="auto"/>
            <w:noWrap/>
            <w:vAlign w:val="center"/>
          </w:tcPr>
          <w:p w14:paraId="285D362D" w14:textId="50A304D0" w:rsidR="00070967" w:rsidRPr="000D03B4" w:rsidRDefault="00070967" w:rsidP="00070967">
            <w:pPr>
              <w:widowControl/>
              <w:snapToGrid w:val="0"/>
              <w:jc w:val="center"/>
              <w:rPr>
                <w:rFonts w:eastAsiaTheme="majorEastAsia"/>
                <w:kern w:val="0"/>
                <w:sz w:val="18"/>
                <w:szCs w:val="18"/>
              </w:rPr>
            </w:pPr>
            <w:r w:rsidRPr="000D03B4">
              <w:rPr>
                <w:rFonts w:eastAsiaTheme="majorEastAsia"/>
                <w:kern w:val="0"/>
                <w:sz w:val="18"/>
                <w:szCs w:val="18"/>
              </w:rPr>
              <w:t>1.</w:t>
            </w:r>
            <w:r w:rsidR="00826129" w:rsidRPr="000D03B4">
              <w:rPr>
                <w:rFonts w:eastAsiaTheme="majorEastAsia"/>
                <w:kern w:val="0"/>
                <w:sz w:val="18"/>
                <w:szCs w:val="18"/>
              </w:rPr>
              <w:t>7</w:t>
            </w:r>
            <w:r w:rsidRPr="000D03B4">
              <w:rPr>
                <w:rFonts w:eastAsiaTheme="majorEastAsia"/>
                <w:kern w:val="0"/>
                <w:sz w:val="18"/>
                <w:szCs w:val="18"/>
              </w:rPr>
              <w:t>.8</w:t>
            </w:r>
          </w:p>
        </w:tc>
        <w:tc>
          <w:tcPr>
            <w:tcW w:w="4954" w:type="dxa"/>
            <w:tcBorders>
              <w:bottom w:val="single" w:sz="4" w:space="0" w:color="auto"/>
            </w:tcBorders>
            <w:shd w:val="clear" w:color="auto" w:fill="auto"/>
            <w:noWrap/>
            <w:vAlign w:val="center"/>
          </w:tcPr>
          <w:p w14:paraId="1AF43571" w14:textId="345DF7E0" w:rsidR="00070967" w:rsidRPr="000D03B4" w:rsidRDefault="00070967" w:rsidP="00A745DB">
            <w:pPr>
              <w:widowControl/>
              <w:snapToGrid w:val="0"/>
              <w:rPr>
                <w:rFonts w:eastAsiaTheme="majorEastAsia"/>
                <w:kern w:val="0"/>
                <w:sz w:val="18"/>
                <w:szCs w:val="18"/>
              </w:rPr>
            </w:pPr>
            <w:r w:rsidRPr="000D03B4">
              <w:rPr>
                <w:rFonts w:eastAsiaTheme="majorEastAsia"/>
                <w:kern w:val="0"/>
                <w:sz w:val="18"/>
                <w:szCs w:val="18"/>
              </w:rPr>
              <w:t>外国投资者对境内企业并购</w:t>
            </w:r>
          </w:p>
        </w:tc>
      </w:tr>
      <w:tr w:rsidR="00F4275A" w:rsidRPr="000D03B4" w14:paraId="6ACE9402" w14:textId="77777777" w:rsidTr="00464350">
        <w:trPr>
          <w:trHeight w:val="20"/>
        </w:trPr>
        <w:tc>
          <w:tcPr>
            <w:tcW w:w="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666C2" w14:textId="6F3BCB20" w:rsidR="00F4275A" w:rsidRPr="000D03B4" w:rsidRDefault="00F4275A" w:rsidP="00F4275A">
            <w:pPr>
              <w:widowControl/>
              <w:snapToGrid w:val="0"/>
              <w:jc w:val="center"/>
              <w:rPr>
                <w:rFonts w:eastAsiaTheme="majorEastAsia"/>
                <w:kern w:val="0"/>
                <w:sz w:val="18"/>
                <w:szCs w:val="18"/>
              </w:rPr>
            </w:pPr>
            <w:r w:rsidRPr="000D03B4">
              <w:rPr>
                <w:rFonts w:eastAsiaTheme="majorEastAsia"/>
                <w:kern w:val="0"/>
                <w:sz w:val="18"/>
                <w:szCs w:val="18"/>
              </w:rPr>
              <w:t>1.8</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F930" w14:textId="77777777" w:rsidR="00F4275A" w:rsidRPr="000D03B4" w:rsidRDefault="00F4275A" w:rsidP="00A745DB">
            <w:pPr>
              <w:widowControl/>
              <w:snapToGrid w:val="0"/>
              <w:jc w:val="center"/>
              <w:rPr>
                <w:rFonts w:eastAsiaTheme="majorEastAsia"/>
                <w:kern w:val="0"/>
                <w:sz w:val="18"/>
                <w:szCs w:val="18"/>
              </w:rPr>
            </w:pPr>
            <w:r w:rsidRPr="000D03B4">
              <w:rPr>
                <w:rFonts w:eastAsiaTheme="majorEastAsia"/>
                <w:kern w:val="0"/>
                <w:sz w:val="18"/>
                <w:szCs w:val="18"/>
              </w:rPr>
              <w:t>其他</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4A909" w14:textId="7476CEFA"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.1</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5AF31" w14:textId="77777777"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碳排放权交易</w:t>
            </w:r>
          </w:p>
        </w:tc>
      </w:tr>
      <w:tr w:rsidR="00F4275A" w:rsidRPr="000D03B4" w14:paraId="5AB522C1"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110D30"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3392AD"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EBF14" w14:textId="0E10B194"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.2</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54000" w14:textId="77777777"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碳排放权质押</w:t>
            </w:r>
          </w:p>
        </w:tc>
      </w:tr>
      <w:tr w:rsidR="00F4275A" w:rsidRPr="000D03B4" w14:paraId="0E7B414F"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032F89"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438A69"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1D0DC" w14:textId="0A3C2629"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.3</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6655B" w14:textId="77777777"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生态价值补偿价值</w:t>
            </w:r>
          </w:p>
        </w:tc>
      </w:tr>
      <w:tr w:rsidR="00F4275A" w:rsidRPr="000D03B4" w14:paraId="20289A50"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520E2"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4B45E1"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4C964" w14:textId="5A213A61"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.4</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ED685" w14:textId="77777777"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森林生态价值补偿</w:t>
            </w:r>
          </w:p>
        </w:tc>
      </w:tr>
      <w:tr w:rsidR="00F4275A" w:rsidRPr="000D03B4" w14:paraId="5009D5DE"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B4BB6A"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6AEDE"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F60EE" w14:textId="3D7B4227"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.5</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63B9D" w14:textId="6B857481" w:rsidR="00F4275A" w:rsidRPr="000D03B4" w:rsidRDefault="00B96F13" w:rsidP="00A745DB">
            <w:pPr>
              <w:widowControl/>
              <w:snapToGrid w:val="0"/>
              <w:rPr>
                <w:rFonts w:eastAsiaTheme="majorEastAsia"/>
                <w:kern w:val="0"/>
                <w:sz w:val="18"/>
                <w:szCs w:val="18"/>
              </w:rPr>
            </w:pPr>
            <w:r w:rsidRPr="000D03B4">
              <w:rPr>
                <w:rFonts w:eastAsiaTheme="majorEastAsia"/>
                <w:kern w:val="0"/>
                <w:sz w:val="18"/>
                <w:szCs w:val="18"/>
              </w:rPr>
              <w:t>环境损失评估</w:t>
            </w:r>
          </w:p>
        </w:tc>
      </w:tr>
      <w:tr w:rsidR="00F4275A" w:rsidRPr="000D03B4" w14:paraId="754ECFF8"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E8BB4"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223B00"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E5B32" w14:textId="0DDCB636"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.6</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D7217" w14:textId="2E26A600"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存量</w:t>
            </w:r>
            <w:r w:rsidRPr="000D03B4">
              <w:rPr>
                <w:rFonts w:eastAsiaTheme="majorEastAsia"/>
                <w:kern w:val="0"/>
                <w:sz w:val="18"/>
                <w:szCs w:val="18"/>
              </w:rPr>
              <w:t>PPP</w:t>
            </w:r>
            <w:r w:rsidRPr="000D03B4">
              <w:rPr>
                <w:rFonts w:eastAsiaTheme="majorEastAsia"/>
                <w:kern w:val="0"/>
                <w:sz w:val="18"/>
                <w:szCs w:val="18"/>
              </w:rPr>
              <w:t>项目实施中的资产评估</w:t>
            </w:r>
          </w:p>
        </w:tc>
      </w:tr>
      <w:tr w:rsidR="00F4275A" w:rsidRPr="000D03B4" w14:paraId="0B4C4B69"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8D4158"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10CEAC"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56026" w14:textId="040D1C81"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.7</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6461A" w14:textId="2306CD60"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PPP</w:t>
            </w:r>
            <w:r w:rsidRPr="000D03B4">
              <w:rPr>
                <w:rFonts w:eastAsiaTheme="majorEastAsia"/>
                <w:kern w:val="0"/>
                <w:sz w:val="18"/>
                <w:szCs w:val="18"/>
              </w:rPr>
              <w:t>项目物有所值评价</w:t>
            </w:r>
          </w:p>
        </w:tc>
      </w:tr>
      <w:tr w:rsidR="00F4275A" w:rsidRPr="000D03B4" w14:paraId="45568E0D"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5A735"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1C483C"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C1789" w14:textId="244BE60A"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.8</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FD8A3" w14:textId="77777777"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PPP</w:t>
            </w:r>
            <w:r w:rsidRPr="000D03B4">
              <w:rPr>
                <w:rFonts w:eastAsiaTheme="majorEastAsia"/>
                <w:kern w:val="0"/>
                <w:sz w:val="18"/>
                <w:szCs w:val="18"/>
              </w:rPr>
              <w:t>项目中期绩效评估</w:t>
            </w:r>
          </w:p>
        </w:tc>
      </w:tr>
      <w:tr w:rsidR="00F4275A" w:rsidRPr="000D03B4" w14:paraId="3743EFE5"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946257"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8D605F"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70244" w14:textId="5861681D"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.9</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EB7F4" w14:textId="77777777"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存量</w:t>
            </w:r>
            <w:r w:rsidRPr="000D03B4">
              <w:rPr>
                <w:rFonts w:eastAsiaTheme="majorEastAsia"/>
                <w:kern w:val="0"/>
                <w:sz w:val="18"/>
                <w:szCs w:val="18"/>
              </w:rPr>
              <w:t>PPP</w:t>
            </w:r>
            <w:r w:rsidRPr="000D03B4">
              <w:rPr>
                <w:rFonts w:eastAsiaTheme="majorEastAsia"/>
                <w:kern w:val="0"/>
                <w:sz w:val="18"/>
                <w:szCs w:val="18"/>
              </w:rPr>
              <w:t>项目中国有资产、股权转让</w:t>
            </w:r>
          </w:p>
        </w:tc>
      </w:tr>
      <w:tr w:rsidR="00F4275A" w:rsidRPr="000D03B4" w14:paraId="751FBE9B"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56FF87"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95C7FE"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62EF9" w14:textId="64A15FB1"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.10</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4B5D0" w14:textId="7378F15B"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PPP</w:t>
            </w:r>
            <w:r w:rsidRPr="000D03B4">
              <w:rPr>
                <w:rFonts w:eastAsiaTheme="majorEastAsia"/>
                <w:kern w:val="0"/>
                <w:sz w:val="18"/>
                <w:szCs w:val="18"/>
              </w:rPr>
              <w:t>项目合作期满移交资产评估</w:t>
            </w:r>
          </w:p>
        </w:tc>
      </w:tr>
      <w:tr w:rsidR="00F4275A" w:rsidRPr="000D03B4" w14:paraId="3F8F7850"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03C8A"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F5A43"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6BE43" w14:textId="5928BA38"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.11</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E0F58" w14:textId="01D025DA"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PPP</w:t>
            </w:r>
            <w:r w:rsidRPr="000D03B4">
              <w:rPr>
                <w:rFonts w:eastAsiaTheme="majorEastAsia"/>
                <w:kern w:val="0"/>
                <w:sz w:val="18"/>
                <w:szCs w:val="18"/>
              </w:rPr>
              <w:t>项目公司资产证券化</w:t>
            </w:r>
          </w:p>
        </w:tc>
      </w:tr>
      <w:tr w:rsidR="00F4275A" w:rsidRPr="000D03B4" w14:paraId="6EDE2017"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076AA1"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928CF5"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6978D" w14:textId="3FB043CF"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.12</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0E281" w14:textId="2948BDFD"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PPP</w:t>
            </w:r>
            <w:r w:rsidRPr="000D03B4">
              <w:rPr>
                <w:rFonts w:eastAsiaTheme="majorEastAsia"/>
                <w:kern w:val="0"/>
                <w:sz w:val="18"/>
                <w:szCs w:val="18"/>
              </w:rPr>
              <w:t>项目公司股东资产证券化</w:t>
            </w:r>
          </w:p>
        </w:tc>
      </w:tr>
      <w:tr w:rsidR="00F4275A" w:rsidRPr="000D03B4" w14:paraId="145FCC5B"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81F928"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05576"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B7938" w14:textId="4FB9EABF"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.13</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61BA7" w14:textId="66AD69AD"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PPP</w:t>
            </w:r>
            <w:r w:rsidRPr="000D03B4">
              <w:rPr>
                <w:rFonts w:eastAsiaTheme="majorEastAsia"/>
                <w:kern w:val="0"/>
                <w:sz w:val="18"/>
                <w:szCs w:val="18"/>
              </w:rPr>
              <w:t>项目公司其他相关主体资产证券化</w:t>
            </w:r>
          </w:p>
        </w:tc>
      </w:tr>
      <w:tr w:rsidR="00F4275A" w:rsidRPr="000D03B4" w14:paraId="2CFB8756"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F8E1C"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B93D9"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3D735" w14:textId="4E252087"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.14</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3CAE6" w14:textId="77777777"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资产损害赔偿鉴定</w:t>
            </w:r>
          </w:p>
        </w:tc>
      </w:tr>
      <w:tr w:rsidR="00F4275A" w:rsidRPr="000D03B4" w14:paraId="22E39F87"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83C768"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85C078"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56D58" w14:textId="04C78CD6"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.15</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0BA2F" w14:textId="77777777"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资产变价</w:t>
            </w:r>
          </w:p>
        </w:tc>
      </w:tr>
      <w:tr w:rsidR="00F4275A" w:rsidRPr="000D03B4" w14:paraId="4176422B"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BBAAA"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E4BD35"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B95F7" w14:textId="57D22577"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.16</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4D402" w14:textId="77777777"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刑事案件定罪量刑中相关损失估算</w:t>
            </w:r>
          </w:p>
        </w:tc>
      </w:tr>
      <w:tr w:rsidR="00F4275A" w:rsidRPr="000D03B4" w14:paraId="3B3C355A"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639063"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A6CE93"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FC879" w14:textId="2B57B25F"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.17</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AB986" w14:textId="30A5104F"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人民法院委托司法执行财产处置资产评估</w:t>
            </w:r>
          </w:p>
        </w:tc>
      </w:tr>
      <w:tr w:rsidR="00F4275A" w:rsidRPr="000D03B4" w14:paraId="7E34AF4A"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545C2"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21106"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3DC3C" w14:textId="73B58346" w:rsidR="00F4275A" w:rsidRPr="000D03B4" w:rsidRDefault="00826129" w:rsidP="00A745DB">
            <w:pPr>
              <w:widowControl/>
              <w:snapToGrid w:val="0"/>
              <w:jc w:val="center"/>
              <w:rPr>
                <w:rFonts w:eastAsiaTheme="majorEastAsia"/>
                <w:kern w:val="0"/>
                <w:sz w:val="18"/>
                <w:szCs w:val="18"/>
              </w:rPr>
            </w:pPr>
            <w:r w:rsidRPr="000D03B4">
              <w:rPr>
                <w:rFonts w:eastAsiaTheme="majorEastAsia"/>
                <w:kern w:val="0"/>
                <w:sz w:val="18"/>
                <w:szCs w:val="18"/>
              </w:rPr>
              <w:t>1.8</w:t>
            </w:r>
            <w:r w:rsidR="00F4275A" w:rsidRPr="000D03B4">
              <w:rPr>
                <w:rFonts w:eastAsiaTheme="majorEastAsia"/>
                <w:kern w:val="0"/>
                <w:sz w:val="18"/>
                <w:szCs w:val="18"/>
              </w:rPr>
              <w:t>.18</w:t>
            </w:r>
          </w:p>
        </w:tc>
        <w:tc>
          <w:tcPr>
            <w:tcW w:w="4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4C774" w14:textId="77777777"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国家中小企业发展基金价值评估</w:t>
            </w:r>
          </w:p>
        </w:tc>
      </w:tr>
      <w:tr w:rsidR="00F4275A" w:rsidRPr="000D03B4" w14:paraId="38BF5ACC" w14:textId="77777777" w:rsidTr="00464350">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881B11"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830210" w14:textId="77777777" w:rsidR="00F4275A" w:rsidRPr="000D03B4" w:rsidRDefault="00F4275A" w:rsidP="00A745DB">
            <w:pPr>
              <w:widowControl/>
              <w:snapToGrid w:val="0"/>
              <w:jc w:val="center"/>
              <w:rPr>
                <w:rFonts w:eastAsiaTheme="majorEastAsia"/>
                <w:kern w:val="0"/>
                <w:sz w:val="18"/>
                <w:szCs w:val="18"/>
              </w:rPr>
            </w:pPr>
          </w:p>
        </w:tc>
        <w:tc>
          <w:tcPr>
            <w:tcW w:w="1099" w:type="dxa"/>
            <w:tcBorders>
              <w:top w:val="single" w:sz="4" w:space="0" w:color="auto"/>
              <w:left w:val="single" w:sz="4" w:space="0" w:color="auto"/>
            </w:tcBorders>
            <w:shd w:val="clear" w:color="auto" w:fill="auto"/>
            <w:noWrap/>
            <w:vAlign w:val="center"/>
          </w:tcPr>
          <w:p w14:paraId="03F30412" w14:textId="07B2B9D0" w:rsidR="00F4275A" w:rsidRPr="000D03B4" w:rsidRDefault="00F4275A" w:rsidP="00F4275A">
            <w:pPr>
              <w:widowControl/>
              <w:snapToGrid w:val="0"/>
              <w:jc w:val="center"/>
              <w:rPr>
                <w:rFonts w:eastAsiaTheme="majorEastAsia"/>
                <w:kern w:val="0"/>
                <w:sz w:val="18"/>
                <w:szCs w:val="18"/>
              </w:rPr>
            </w:pPr>
            <w:r w:rsidRPr="000D03B4">
              <w:rPr>
                <w:rFonts w:eastAsiaTheme="majorEastAsia"/>
                <w:kern w:val="0"/>
                <w:sz w:val="18"/>
                <w:szCs w:val="18"/>
              </w:rPr>
              <w:t>1.</w:t>
            </w:r>
            <w:r w:rsidR="00826129" w:rsidRPr="000D03B4">
              <w:rPr>
                <w:rFonts w:eastAsiaTheme="majorEastAsia"/>
                <w:kern w:val="0"/>
                <w:sz w:val="18"/>
                <w:szCs w:val="18"/>
              </w:rPr>
              <w:t>8</w:t>
            </w:r>
            <w:r w:rsidRPr="000D03B4">
              <w:rPr>
                <w:rFonts w:eastAsiaTheme="majorEastAsia"/>
                <w:kern w:val="0"/>
                <w:sz w:val="18"/>
                <w:szCs w:val="18"/>
              </w:rPr>
              <w:t>.19</w:t>
            </w:r>
          </w:p>
        </w:tc>
        <w:tc>
          <w:tcPr>
            <w:tcW w:w="4954" w:type="dxa"/>
            <w:tcBorders>
              <w:top w:val="single" w:sz="4" w:space="0" w:color="auto"/>
            </w:tcBorders>
            <w:shd w:val="clear" w:color="auto" w:fill="auto"/>
            <w:noWrap/>
            <w:vAlign w:val="center"/>
          </w:tcPr>
          <w:p w14:paraId="1CEFDB5E" w14:textId="2AFE745A"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行业协会商会与行政机关脱钩有关国有资产管理</w:t>
            </w:r>
          </w:p>
        </w:tc>
      </w:tr>
      <w:tr w:rsidR="00F4275A" w:rsidRPr="000D03B4" w14:paraId="772965FE" w14:textId="77777777" w:rsidTr="00421709">
        <w:trPr>
          <w:trHeight w:val="63"/>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860F9B"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117DC9" w14:textId="77777777" w:rsidR="00F4275A" w:rsidRPr="000D03B4" w:rsidRDefault="00F4275A" w:rsidP="00A745DB">
            <w:pPr>
              <w:widowControl/>
              <w:snapToGrid w:val="0"/>
              <w:jc w:val="center"/>
              <w:rPr>
                <w:rFonts w:eastAsiaTheme="majorEastAsia"/>
                <w:kern w:val="0"/>
                <w:sz w:val="18"/>
                <w:szCs w:val="18"/>
              </w:rPr>
            </w:pPr>
          </w:p>
        </w:tc>
        <w:tc>
          <w:tcPr>
            <w:tcW w:w="1099" w:type="dxa"/>
            <w:tcBorders>
              <w:left w:val="single" w:sz="4" w:space="0" w:color="auto"/>
            </w:tcBorders>
            <w:shd w:val="clear" w:color="auto" w:fill="auto"/>
            <w:noWrap/>
            <w:vAlign w:val="center"/>
          </w:tcPr>
          <w:p w14:paraId="21133EA5" w14:textId="0076C707" w:rsidR="00F4275A" w:rsidRPr="000D03B4" w:rsidRDefault="00F4275A" w:rsidP="00F4275A">
            <w:pPr>
              <w:widowControl/>
              <w:snapToGrid w:val="0"/>
              <w:jc w:val="center"/>
              <w:rPr>
                <w:rFonts w:eastAsiaTheme="majorEastAsia"/>
                <w:kern w:val="0"/>
                <w:sz w:val="18"/>
                <w:szCs w:val="18"/>
              </w:rPr>
            </w:pPr>
            <w:r w:rsidRPr="000D03B4">
              <w:rPr>
                <w:rFonts w:eastAsiaTheme="majorEastAsia"/>
                <w:kern w:val="0"/>
                <w:sz w:val="18"/>
                <w:szCs w:val="18"/>
              </w:rPr>
              <w:t>1.</w:t>
            </w:r>
            <w:r w:rsidR="00826129" w:rsidRPr="000D03B4">
              <w:rPr>
                <w:rFonts w:eastAsiaTheme="majorEastAsia"/>
                <w:kern w:val="0"/>
                <w:sz w:val="18"/>
                <w:szCs w:val="18"/>
              </w:rPr>
              <w:t>8</w:t>
            </w:r>
            <w:r w:rsidRPr="000D03B4">
              <w:rPr>
                <w:rFonts w:eastAsiaTheme="majorEastAsia"/>
                <w:kern w:val="0"/>
                <w:sz w:val="18"/>
                <w:szCs w:val="18"/>
              </w:rPr>
              <w:t>.20</w:t>
            </w:r>
          </w:p>
        </w:tc>
        <w:tc>
          <w:tcPr>
            <w:tcW w:w="4954" w:type="dxa"/>
            <w:shd w:val="clear" w:color="auto" w:fill="auto"/>
            <w:noWrap/>
            <w:vAlign w:val="center"/>
          </w:tcPr>
          <w:p w14:paraId="7A570360" w14:textId="0BBE2FD4"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中国足协大额资产出售与置换</w:t>
            </w:r>
          </w:p>
        </w:tc>
      </w:tr>
      <w:tr w:rsidR="00F4275A" w:rsidRPr="000D03B4" w14:paraId="288E6FF0" w14:textId="77777777" w:rsidTr="00421709">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1558CA"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FC2621" w14:textId="77777777" w:rsidR="00F4275A" w:rsidRPr="000D03B4" w:rsidRDefault="00F4275A" w:rsidP="00A745DB">
            <w:pPr>
              <w:widowControl/>
              <w:snapToGrid w:val="0"/>
              <w:jc w:val="center"/>
              <w:rPr>
                <w:rFonts w:eastAsiaTheme="majorEastAsia"/>
                <w:kern w:val="0"/>
                <w:sz w:val="18"/>
                <w:szCs w:val="18"/>
              </w:rPr>
            </w:pPr>
          </w:p>
        </w:tc>
        <w:tc>
          <w:tcPr>
            <w:tcW w:w="1099" w:type="dxa"/>
            <w:tcBorders>
              <w:left w:val="single" w:sz="4" w:space="0" w:color="auto"/>
            </w:tcBorders>
            <w:shd w:val="clear" w:color="auto" w:fill="auto"/>
            <w:noWrap/>
            <w:vAlign w:val="center"/>
          </w:tcPr>
          <w:p w14:paraId="074FBDA6" w14:textId="7F0A63E3" w:rsidR="00F4275A" w:rsidRPr="000D03B4" w:rsidRDefault="00F4275A" w:rsidP="00F4275A">
            <w:pPr>
              <w:widowControl/>
              <w:snapToGrid w:val="0"/>
              <w:jc w:val="center"/>
              <w:rPr>
                <w:rFonts w:eastAsiaTheme="majorEastAsia"/>
                <w:kern w:val="0"/>
                <w:sz w:val="18"/>
                <w:szCs w:val="18"/>
              </w:rPr>
            </w:pPr>
            <w:r w:rsidRPr="000D03B4">
              <w:rPr>
                <w:rFonts w:eastAsiaTheme="majorEastAsia"/>
                <w:kern w:val="0"/>
                <w:sz w:val="18"/>
                <w:szCs w:val="18"/>
              </w:rPr>
              <w:t>1.</w:t>
            </w:r>
            <w:r w:rsidR="00826129" w:rsidRPr="000D03B4">
              <w:rPr>
                <w:rFonts w:eastAsiaTheme="majorEastAsia"/>
                <w:kern w:val="0"/>
                <w:sz w:val="18"/>
                <w:szCs w:val="18"/>
              </w:rPr>
              <w:t>8</w:t>
            </w:r>
            <w:r w:rsidRPr="000D03B4">
              <w:rPr>
                <w:rFonts w:eastAsiaTheme="majorEastAsia"/>
                <w:kern w:val="0"/>
                <w:sz w:val="18"/>
                <w:szCs w:val="18"/>
              </w:rPr>
              <w:t>.21</w:t>
            </w:r>
          </w:p>
        </w:tc>
        <w:tc>
          <w:tcPr>
            <w:tcW w:w="4954" w:type="dxa"/>
            <w:shd w:val="clear" w:color="auto" w:fill="auto"/>
            <w:noWrap/>
            <w:vAlign w:val="center"/>
          </w:tcPr>
          <w:p w14:paraId="192B2DF3" w14:textId="0753A35D"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中国足协所持的国有企业股权资产管理</w:t>
            </w:r>
          </w:p>
        </w:tc>
      </w:tr>
      <w:tr w:rsidR="00F4275A" w:rsidRPr="000D03B4" w14:paraId="7CE5985F" w14:textId="77777777" w:rsidTr="00421709">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33023C"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E99C34" w14:textId="77777777" w:rsidR="00F4275A" w:rsidRPr="000D03B4" w:rsidRDefault="00F4275A" w:rsidP="00A745DB">
            <w:pPr>
              <w:widowControl/>
              <w:snapToGrid w:val="0"/>
              <w:jc w:val="center"/>
              <w:rPr>
                <w:rFonts w:eastAsiaTheme="majorEastAsia"/>
                <w:kern w:val="0"/>
                <w:sz w:val="18"/>
                <w:szCs w:val="18"/>
              </w:rPr>
            </w:pPr>
          </w:p>
        </w:tc>
        <w:tc>
          <w:tcPr>
            <w:tcW w:w="1099" w:type="dxa"/>
            <w:tcBorders>
              <w:left w:val="single" w:sz="4" w:space="0" w:color="auto"/>
            </w:tcBorders>
            <w:shd w:val="clear" w:color="auto" w:fill="auto"/>
            <w:noWrap/>
            <w:vAlign w:val="center"/>
          </w:tcPr>
          <w:p w14:paraId="771A39A6" w14:textId="399F287F" w:rsidR="00F4275A" w:rsidRPr="000D03B4" w:rsidRDefault="00F4275A" w:rsidP="00F4275A">
            <w:pPr>
              <w:widowControl/>
              <w:snapToGrid w:val="0"/>
              <w:jc w:val="center"/>
              <w:rPr>
                <w:rFonts w:eastAsiaTheme="majorEastAsia"/>
                <w:kern w:val="0"/>
                <w:sz w:val="18"/>
                <w:szCs w:val="18"/>
              </w:rPr>
            </w:pPr>
            <w:r w:rsidRPr="000D03B4">
              <w:rPr>
                <w:rFonts w:eastAsiaTheme="majorEastAsia"/>
                <w:kern w:val="0"/>
                <w:sz w:val="18"/>
                <w:szCs w:val="18"/>
              </w:rPr>
              <w:t>1.</w:t>
            </w:r>
            <w:r w:rsidR="00826129" w:rsidRPr="000D03B4">
              <w:rPr>
                <w:rFonts w:eastAsiaTheme="majorEastAsia"/>
                <w:kern w:val="0"/>
                <w:sz w:val="18"/>
                <w:szCs w:val="18"/>
              </w:rPr>
              <w:t>8</w:t>
            </w:r>
            <w:r w:rsidRPr="000D03B4">
              <w:rPr>
                <w:rFonts w:eastAsiaTheme="majorEastAsia"/>
                <w:kern w:val="0"/>
                <w:sz w:val="18"/>
                <w:szCs w:val="18"/>
              </w:rPr>
              <w:t>.22</w:t>
            </w:r>
          </w:p>
        </w:tc>
        <w:tc>
          <w:tcPr>
            <w:tcW w:w="4954" w:type="dxa"/>
            <w:shd w:val="clear" w:color="auto" w:fill="auto"/>
            <w:noWrap/>
            <w:vAlign w:val="center"/>
          </w:tcPr>
          <w:p w14:paraId="44228F70" w14:textId="76A856B6"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包装产业发展混合所有制经济中涉及的国有资产评估</w:t>
            </w:r>
          </w:p>
        </w:tc>
      </w:tr>
      <w:tr w:rsidR="00F4275A" w:rsidRPr="000D03B4" w14:paraId="367200CF" w14:textId="77777777" w:rsidTr="00421709">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DC58E"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50D2A5" w14:textId="77777777" w:rsidR="00F4275A" w:rsidRPr="000D03B4" w:rsidRDefault="00F4275A" w:rsidP="00A745DB">
            <w:pPr>
              <w:widowControl/>
              <w:snapToGrid w:val="0"/>
              <w:jc w:val="center"/>
              <w:rPr>
                <w:rFonts w:eastAsiaTheme="majorEastAsia"/>
                <w:kern w:val="0"/>
                <w:sz w:val="18"/>
                <w:szCs w:val="18"/>
              </w:rPr>
            </w:pPr>
          </w:p>
        </w:tc>
        <w:tc>
          <w:tcPr>
            <w:tcW w:w="1099" w:type="dxa"/>
            <w:tcBorders>
              <w:left w:val="single" w:sz="4" w:space="0" w:color="auto"/>
            </w:tcBorders>
            <w:shd w:val="clear" w:color="auto" w:fill="auto"/>
            <w:noWrap/>
            <w:vAlign w:val="center"/>
          </w:tcPr>
          <w:p w14:paraId="6EADD9BB" w14:textId="477A8FB1" w:rsidR="00F4275A" w:rsidRPr="000D03B4" w:rsidRDefault="00F4275A" w:rsidP="00F4275A">
            <w:pPr>
              <w:widowControl/>
              <w:snapToGrid w:val="0"/>
              <w:jc w:val="center"/>
              <w:rPr>
                <w:rFonts w:eastAsiaTheme="majorEastAsia"/>
                <w:kern w:val="0"/>
                <w:sz w:val="18"/>
                <w:szCs w:val="18"/>
              </w:rPr>
            </w:pPr>
            <w:r w:rsidRPr="000D03B4">
              <w:rPr>
                <w:rFonts w:eastAsiaTheme="majorEastAsia"/>
                <w:kern w:val="0"/>
                <w:sz w:val="18"/>
                <w:szCs w:val="18"/>
              </w:rPr>
              <w:t>1.</w:t>
            </w:r>
            <w:r w:rsidR="00826129" w:rsidRPr="000D03B4">
              <w:rPr>
                <w:rFonts w:eastAsiaTheme="majorEastAsia"/>
                <w:kern w:val="0"/>
                <w:sz w:val="18"/>
                <w:szCs w:val="18"/>
              </w:rPr>
              <w:t>8</w:t>
            </w:r>
            <w:r w:rsidRPr="000D03B4">
              <w:rPr>
                <w:rFonts w:eastAsiaTheme="majorEastAsia"/>
                <w:kern w:val="0"/>
                <w:sz w:val="18"/>
                <w:szCs w:val="18"/>
              </w:rPr>
              <w:t>.23</w:t>
            </w:r>
          </w:p>
        </w:tc>
        <w:tc>
          <w:tcPr>
            <w:tcW w:w="4954" w:type="dxa"/>
            <w:shd w:val="clear" w:color="auto" w:fill="auto"/>
            <w:noWrap/>
            <w:vAlign w:val="center"/>
          </w:tcPr>
          <w:p w14:paraId="1E86DA50" w14:textId="6794690D"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大中型包装企业的股权分置改革中涉及的国有产权变动</w:t>
            </w:r>
          </w:p>
        </w:tc>
      </w:tr>
      <w:tr w:rsidR="00F4275A" w:rsidRPr="000D03B4" w14:paraId="41358379" w14:textId="77777777" w:rsidTr="00421709">
        <w:trPr>
          <w:trHeight w:val="20"/>
        </w:trPr>
        <w:tc>
          <w:tcPr>
            <w:tcW w:w="6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ED3DA9" w14:textId="77777777" w:rsidR="00F4275A" w:rsidRPr="000D03B4" w:rsidRDefault="00F4275A" w:rsidP="00A745DB">
            <w:pPr>
              <w:widowControl/>
              <w:snapToGrid w:val="0"/>
              <w:jc w:val="center"/>
              <w:rPr>
                <w:rFonts w:eastAsiaTheme="majorEastAsia"/>
                <w:kern w:val="0"/>
                <w:sz w:val="18"/>
                <w:szCs w:val="18"/>
              </w:rPr>
            </w:pPr>
          </w:p>
        </w:tc>
        <w:tc>
          <w:tcPr>
            <w:tcW w:w="20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63538A" w14:textId="77777777" w:rsidR="00F4275A" w:rsidRPr="000D03B4" w:rsidRDefault="00F4275A" w:rsidP="00A745DB">
            <w:pPr>
              <w:widowControl/>
              <w:snapToGrid w:val="0"/>
              <w:jc w:val="center"/>
              <w:rPr>
                <w:rFonts w:eastAsiaTheme="majorEastAsia"/>
                <w:kern w:val="0"/>
                <w:sz w:val="18"/>
                <w:szCs w:val="18"/>
              </w:rPr>
            </w:pPr>
          </w:p>
        </w:tc>
        <w:tc>
          <w:tcPr>
            <w:tcW w:w="1099" w:type="dxa"/>
            <w:tcBorders>
              <w:left w:val="single" w:sz="4" w:space="0" w:color="auto"/>
            </w:tcBorders>
            <w:shd w:val="clear" w:color="auto" w:fill="auto"/>
            <w:noWrap/>
            <w:vAlign w:val="center"/>
          </w:tcPr>
          <w:p w14:paraId="56889220" w14:textId="1B5C4A0A" w:rsidR="00F4275A" w:rsidRPr="000D03B4" w:rsidRDefault="00F4275A" w:rsidP="00F4275A">
            <w:pPr>
              <w:widowControl/>
              <w:snapToGrid w:val="0"/>
              <w:jc w:val="center"/>
              <w:rPr>
                <w:rFonts w:eastAsiaTheme="majorEastAsia"/>
                <w:kern w:val="0"/>
                <w:sz w:val="18"/>
                <w:szCs w:val="18"/>
              </w:rPr>
            </w:pPr>
            <w:r w:rsidRPr="000D03B4">
              <w:rPr>
                <w:rFonts w:eastAsiaTheme="majorEastAsia"/>
                <w:kern w:val="0"/>
                <w:sz w:val="18"/>
                <w:szCs w:val="18"/>
              </w:rPr>
              <w:t>1.</w:t>
            </w:r>
            <w:r w:rsidR="00826129" w:rsidRPr="000D03B4">
              <w:rPr>
                <w:rFonts w:eastAsiaTheme="majorEastAsia"/>
                <w:kern w:val="0"/>
                <w:sz w:val="18"/>
                <w:szCs w:val="18"/>
              </w:rPr>
              <w:t>8</w:t>
            </w:r>
            <w:r w:rsidRPr="000D03B4">
              <w:rPr>
                <w:rFonts w:eastAsiaTheme="majorEastAsia"/>
                <w:kern w:val="0"/>
                <w:sz w:val="18"/>
                <w:szCs w:val="18"/>
              </w:rPr>
              <w:t>.24</w:t>
            </w:r>
          </w:p>
        </w:tc>
        <w:tc>
          <w:tcPr>
            <w:tcW w:w="4954" w:type="dxa"/>
            <w:shd w:val="clear" w:color="auto" w:fill="auto"/>
            <w:noWrap/>
            <w:vAlign w:val="center"/>
          </w:tcPr>
          <w:p w14:paraId="505AA9EB" w14:textId="000D71ED" w:rsidR="00F4275A" w:rsidRPr="000D03B4" w:rsidRDefault="00F4275A" w:rsidP="00A745DB">
            <w:pPr>
              <w:widowControl/>
              <w:snapToGrid w:val="0"/>
              <w:rPr>
                <w:rFonts w:eastAsiaTheme="majorEastAsia"/>
                <w:kern w:val="0"/>
                <w:sz w:val="18"/>
                <w:szCs w:val="18"/>
              </w:rPr>
            </w:pPr>
            <w:r w:rsidRPr="000D03B4">
              <w:rPr>
                <w:rFonts w:eastAsiaTheme="majorEastAsia"/>
                <w:kern w:val="0"/>
                <w:sz w:val="18"/>
                <w:szCs w:val="18"/>
              </w:rPr>
              <w:t>包装企业与科研院所间的资产重组</w:t>
            </w:r>
          </w:p>
        </w:tc>
      </w:tr>
    </w:tbl>
    <w:p w14:paraId="41FD56CC" w14:textId="21526FCC" w:rsidR="00506AE0" w:rsidRPr="000D03B4" w:rsidRDefault="00506AE0" w:rsidP="009B4991"/>
    <w:p w14:paraId="2EF7B916" w14:textId="203D8271" w:rsidR="00506AE0" w:rsidRPr="000D03B4" w:rsidRDefault="009F7A3A" w:rsidP="009B4991">
      <w:pPr>
        <w:adjustRightInd w:val="0"/>
        <w:snapToGrid w:val="0"/>
        <w:spacing w:line="276" w:lineRule="auto"/>
        <w:ind w:firstLineChars="200" w:firstLine="482"/>
        <w:rPr>
          <w:b/>
          <w:sz w:val="24"/>
        </w:rPr>
      </w:pPr>
      <w:bookmarkStart w:id="28" w:name="_Toc3385891"/>
      <w:bookmarkStart w:id="29" w:name="_Toc2778971"/>
      <w:bookmarkStart w:id="30" w:name="_Toc535836439"/>
      <w:bookmarkStart w:id="31" w:name="_Toc10395353"/>
      <w:r w:rsidRPr="000D03B4">
        <w:rPr>
          <w:b/>
          <w:sz w:val="24"/>
        </w:rPr>
        <w:t>（一）</w:t>
      </w:r>
      <w:r w:rsidR="00E778F0" w:rsidRPr="000D03B4">
        <w:rPr>
          <w:b/>
          <w:sz w:val="24"/>
        </w:rPr>
        <w:t>国资委</w:t>
      </w:r>
      <w:r w:rsidR="00407BAA">
        <w:rPr>
          <w:rFonts w:hint="eastAsia"/>
          <w:b/>
          <w:sz w:val="24"/>
        </w:rPr>
        <w:t>、</w:t>
      </w:r>
      <w:r w:rsidR="00E778F0" w:rsidRPr="000D03B4">
        <w:rPr>
          <w:b/>
          <w:sz w:val="24"/>
        </w:rPr>
        <w:t>财政部及其授权履行国有资产监管的中央企业和中央金融企业</w:t>
      </w:r>
      <w:r w:rsidR="006C49EF" w:rsidRPr="000D03B4">
        <w:rPr>
          <w:b/>
          <w:sz w:val="24"/>
        </w:rPr>
        <w:t>评估类业务</w:t>
      </w:r>
      <w:r w:rsidR="00122127" w:rsidRPr="000D03B4">
        <w:rPr>
          <w:b/>
          <w:sz w:val="24"/>
        </w:rPr>
        <w:t>需求</w:t>
      </w:r>
      <w:bookmarkEnd w:id="28"/>
      <w:bookmarkEnd w:id="29"/>
      <w:bookmarkEnd w:id="30"/>
      <w:bookmarkEnd w:id="31"/>
    </w:p>
    <w:p w14:paraId="5140697E" w14:textId="77777777" w:rsidR="0043115E" w:rsidRPr="000D03B4" w:rsidRDefault="0043115E" w:rsidP="009B4991">
      <w:pPr>
        <w:adjustRightInd w:val="0"/>
        <w:snapToGrid w:val="0"/>
        <w:spacing w:line="276" w:lineRule="auto"/>
        <w:ind w:firstLineChars="200" w:firstLine="480"/>
        <w:rPr>
          <w:sz w:val="24"/>
        </w:rPr>
      </w:pPr>
      <w:r w:rsidRPr="000D03B4">
        <w:rPr>
          <w:sz w:val="24"/>
        </w:rPr>
        <w:t>1.</w:t>
      </w:r>
      <w:r w:rsidRPr="000D03B4">
        <w:rPr>
          <w:sz w:val="24"/>
        </w:rPr>
        <w:t>业务来源</w:t>
      </w:r>
    </w:p>
    <w:p w14:paraId="2ED6B3CA" w14:textId="13E87F06" w:rsidR="00BC4C6C" w:rsidRPr="000D03B4" w:rsidRDefault="00BC4C6C" w:rsidP="00BC4C6C">
      <w:pPr>
        <w:adjustRightInd w:val="0"/>
        <w:snapToGrid w:val="0"/>
        <w:spacing w:line="276" w:lineRule="auto"/>
        <w:ind w:firstLineChars="200" w:firstLine="480"/>
        <w:rPr>
          <w:sz w:val="24"/>
        </w:rPr>
      </w:pPr>
      <w:r w:rsidRPr="000D03B4">
        <w:rPr>
          <w:rFonts w:hint="eastAsia"/>
          <w:sz w:val="24"/>
        </w:rPr>
        <w:t>国资委</w:t>
      </w:r>
      <w:r w:rsidR="00F02F42">
        <w:rPr>
          <w:rFonts w:hint="eastAsia"/>
          <w:sz w:val="24"/>
        </w:rPr>
        <w:t>、</w:t>
      </w:r>
      <w:r w:rsidRPr="000D03B4">
        <w:rPr>
          <w:rFonts w:hint="eastAsia"/>
          <w:sz w:val="24"/>
        </w:rPr>
        <w:t>财政部及其授权履行国有资产监管的中央企业和中央金融企业触发评估类业务需求的经济行为主要包括资产处置、公司制改建、企业合并与分立、产权变动等，涉及的相关业务是资产评估机构开展多年的业务类型，是资产评估机构的基本服务项目。</w:t>
      </w:r>
    </w:p>
    <w:p w14:paraId="136F6C87" w14:textId="7DBC083F" w:rsidR="00506AE0" w:rsidRPr="000D03B4" w:rsidRDefault="00122127" w:rsidP="00BC4C6C">
      <w:pPr>
        <w:adjustRightInd w:val="0"/>
        <w:snapToGrid w:val="0"/>
        <w:spacing w:line="276" w:lineRule="auto"/>
        <w:ind w:firstLineChars="200" w:firstLine="480"/>
        <w:rPr>
          <w:sz w:val="24"/>
        </w:rPr>
      </w:pPr>
      <w:r w:rsidRPr="000D03B4">
        <w:rPr>
          <w:sz w:val="24"/>
        </w:rPr>
        <w:t>资产处置经济行为包括：资产转让、拍卖、偿债、租赁、抵质押、资产重组、资产捐赠、资产补偿、资产涉讼、对外投资、接受投资、接受抵债资产和债务重组等。</w:t>
      </w:r>
    </w:p>
    <w:p w14:paraId="0E257050" w14:textId="741D27B6" w:rsidR="003D4F3C" w:rsidRPr="000D03B4" w:rsidRDefault="003D4F3C" w:rsidP="009B4991">
      <w:pPr>
        <w:adjustRightInd w:val="0"/>
        <w:snapToGrid w:val="0"/>
        <w:spacing w:line="276" w:lineRule="auto"/>
        <w:ind w:firstLineChars="200" w:firstLine="480"/>
        <w:rPr>
          <w:sz w:val="24"/>
        </w:rPr>
      </w:pPr>
      <w:r w:rsidRPr="000D03B4">
        <w:rPr>
          <w:sz w:val="24"/>
        </w:rPr>
        <w:t>企业合并与分立经济行为包括：企业合</w:t>
      </w:r>
      <w:r w:rsidR="00040BC1" w:rsidRPr="000D03B4">
        <w:rPr>
          <w:sz w:val="24"/>
        </w:rPr>
        <w:t>并</w:t>
      </w:r>
      <w:r w:rsidRPr="000D03B4">
        <w:rPr>
          <w:sz w:val="24"/>
        </w:rPr>
        <w:t>、企业分立、企业破产、企业清算、企业解散等。</w:t>
      </w:r>
    </w:p>
    <w:p w14:paraId="4C690937" w14:textId="6F632A5F" w:rsidR="003D4F3C" w:rsidRPr="000D03B4" w:rsidRDefault="003D4F3C" w:rsidP="009B4991">
      <w:pPr>
        <w:adjustRightInd w:val="0"/>
        <w:snapToGrid w:val="0"/>
        <w:spacing w:line="276" w:lineRule="auto"/>
        <w:ind w:firstLineChars="200" w:firstLine="480"/>
        <w:rPr>
          <w:sz w:val="24"/>
        </w:rPr>
      </w:pPr>
      <w:r w:rsidRPr="000D03B4">
        <w:rPr>
          <w:sz w:val="24"/>
        </w:rPr>
        <w:t>产权变动经济行为包括：增资扩股、</w:t>
      </w:r>
      <w:r w:rsidRPr="000D03B4">
        <w:rPr>
          <w:sz w:val="24"/>
        </w:rPr>
        <w:t>IPO</w:t>
      </w:r>
      <w:r w:rsidRPr="000D03B4">
        <w:rPr>
          <w:sz w:val="24"/>
        </w:rPr>
        <w:t>、股权转让、债转股等。</w:t>
      </w:r>
    </w:p>
    <w:p w14:paraId="34A33ED3" w14:textId="32A2FE62" w:rsidR="00506AE0" w:rsidRPr="000D03B4" w:rsidRDefault="0043115E" w:rsidP="009B4991">
      <w:pPr>
        <w:adjustRightInd w:val="0"/>
        <w:snapToGrid w:val="0"/>
        <w:spacing w:line="276" w:lineRule="auto"/>
        <w:ind w:firstLineChars="200" w:firstLine="480"/>
        <w:rPr>
          <w:sz w:val="24"/>
        </w:rPr>
      </w:pPr>
      <w:r w:rsidRPr="000D03B4">
        <w:rPr>
          <w:sz w:val="24"/>
        </w:rPr>
        <w:t>2.</w:t>
      </w:r>
      <w:r w:rsidRPr="000D03B4">
        <w:rPr>
          <w:sz w:val="24"/>
        </w:rPr>
        <w:t>文件</w:t>
      </w:r>
      <w:r w:rsidR="00122127" w:rsidRPr="000D03B4">
        <w:rPr>
          <w:sz w:val="24"/>
        </w:rPr>
        <w:t>依据</w:t>
      </w:r>
    </w:p>
    <w:p w14:paraId="404D9046" w14:textId="08934C87" w:rsidR="0086415A" w:rsidRPr="000D03B4" w:rsidRDefault="00D224E6" w:rsidP="009B4991">
      <w:pPr>
        <w:adjustRightInd w:val="0"/>
        <w:snapToGrid w:val="0"/>
        <w:spacing w:line="276" w:lineRule="auto"/>
        <w:ind w:firstLineChars="200" w:firstLine="480"/>
        <w:rPr>
          <w:sz w:val="24"/>
        </w:rPr>
      </w:pPr>
      <w:r w:rsidRPr="000D03B4">
        <w:rPr>
          <w:sz w:val="24"/>
        </w:rPr>
        <w:t>（</w:t>
      </w:r>
      <w:r w:rsidRPr="000D03B4">
        <w:rPr>
          <w:sz w:val="24"/>
        </w:rPr>
        <w:t>1</w:t>
      </w:r>
      <w:r w:rsidRPr="000D03B4">
        <w:rPr>
          <w:sz w:val="24"/>
        </w:rPr>
        <w:t>）</w:t>
      </w:r>
      <w:r w:rsidR="0086415A" w:rsidRPr="000D03B4">
        <w:rPr>
          <w:sz w:val="24"/>
        </w:rPr>
        <w:t>《企业国有资产评估管理暂行办法》（国资委令第</w:t>
      </w:r>
      <w:r w:rsidR="0086415A" w:rsidRPr="000D03B4">
        <w:rPr>
          <w:sz w:val="24"/>
        </w:rPr>
        <w:t>12</w:t>
      </w:r>
      <w:r w:rsidR="0086415A" w:rsidRPr="000D03B4">
        <w:rPr>
          <w:sz w:val="24"/>
        </w:rPr>
        <w:t>号）；</w:t>
      </w:r>
    </w:p>
    <w:p w14:paraId="7AA4B49A" w14:textId="2CF1BFE8" w:rsidR="0086415A" w:rsidRPr="000D03B4" w:rsidRDefault="00D224E6" w:rsidP="009B4991">
      <w:pPr>
        <w:adjustRightInd w:val="0"/>
        <w:snapToGrid w:val="0"/>
        <w:spacing w:line="276" w:lineRule="auto"/>
        <w:ind w:firstLineChars="200" w:firstLine="480"/>
        <w:rPr>
          <w:sz w:val="24"/>
        </w:rPr>
      </w:pPr>
      <w:r w:rsidRPr="000D03B4">
        <w:rPr>
          <w:sz w:val="24"/>
        </w:rPr>
        <w:t>（</w:t>
      </w:r>
      <w:r w:rsidRPr="000D03B4">
        <w:rPr>
          <w:sz w:val="24"/>
        </w:rPr>
        <w:t>2</w:t>
      </w:r>
      <w:r w:rsidRPr="000D03B4">
        <w:rPr>
          <w:sz w:val="24"/>
        </w:rPr>
        <w:t>）</w:t>
      </w:r>
      <w:r w:rsidR="0086415A" w:rsidRPr="000D03B4">
        <w:rPr>
          <w:sz w:val="24"/>
        </w:rPr>
        <w:t>《金融企业国有资产评估监督管理暂行办法》（财政部令第</w:t>
      </w:r>
      <w:r w:rsidR="0086415A" w:rsidRPr="000D03B4">
        <w:rPr>
          <w:sz w:val="24"/>
        </w:rPr>
        <w:t>47</w:t>
      </w:r>
      <w:r w:rsidR="0086415A" w:rsidRPr="000D03B4">
        <w:rPr>
          <w:sz w:val="24"/>
        </w:rPr>
        <w:t>号）；</w:t>
      </w:r>
    </w:p>
    <w:p w14:paraId="1BB17CB9" w14:textId="07671DB4" w:rsidR="0086415A" w:rsidRPr="000D03B4" w:rsidRDefault="00D224E6" w:rsidP="009B4991">
      <w:pPr>
        <w:adjustRightInd w:val="0"/>
        <w:snapToGrid w:val="0"/>
        <w:spacing w:line="276" w:lineRule="auto"/>
        <w:ind w:firstLineChars="200" w:firstLine="480"/>
        <w:rPr>
          <w:sz w:val="24"/>
        </w:rPr>
      </w:pPr>
      <w:r w:rsidRPr="000D03B4">
        <w:rPr>
          <w:sz w:val="24"/>
        </w:rPr>
        <w:t>（</w:t>
      </w:r>
      <w:r w:rsidRPr="000D03B4">
        <w:rPr>
          <w:sz w:val="24"/>
        </w:rPr>
        <w:t>3</w:t>
      </w:r>
      <w:r w:rsidRPr="000D03B4">
        <w:rPr>
          <w:sz w:val="24"/>
        </w:rPr>
        <w:t>）</w:t>
      </w:r>
      <w:r w:rsidR="0086415A" w:rsidRPr="000D03B4">
        <w:rPr>
          <w:sz w:val="24"/>
        </w:rPr>
        <w:t>《行政单位国有资产管理暂行办法》（财政部令第</w:t>
      </w:r>
      <w:r w:rsidR="0086415A" w:rsidRPr="000D03B4">
        <w:rPr>
          <w:sz w:val="24"/>
        </w:rPr>
        <w:t>35</w:t>
      </w:r>
      <w:r w:rsidR="0086415A" w:rsidRPr="000D03B4">
        <w:rPr>
          <w:sz w:val="24"/>
        </w:rPr>
        <w:t>号</w:t>
      </w:r>
      <w:r w:rsidR="00A752E8" w:rsidRPr="000D03B4">
        <w:rPr>
          <w:sz w:val="24"/>
        </w:rPr>
        <w:t xml:space="preserve"> </w:t>
      </w:r>
      <w:r w:rsidR="0086415A" w:rsidRPr="000D03B4">
        <w:rPr>
          <w:sz w:val="24"/>
        </w:rPr>
        <w:t>根据</w:t>
      </w:r>
      <w:r w:rsidR="0086415A" w:rsidRPr="000D03B4">
        <w:rPr>
          <w:sz w:val="24"/>
        </w:rPr>
        <w:t>2017</w:t>
      </w:r>
      <w:r w:rsidR="0086415A" w:rsidRPr="000D03B4">
        <w:rPr>
          <w:sz w:val="24"/>
        </w:rPr>
        <w:t>年</w:t>
      </w:r>
      <w:r w:rsidR="0086415A" w:rsidRPr="000D03B4">
        <w:rPr>
          <w:sz w:val="24"/>
        </w:rPr>
        <w:t>12</w:t>
      </w:r>
      <w:r w:rsidR="0086415A" w:rsidRPr="000D03B4">
        <w:rPr>
          <w:sz w:val="24"/>
        </w:rPr>
        <w:t>月</w:t>
      </w:r>
      <w:r w:rsidR="0086415A" w:rsidRPr="000D03B4">
        <w:rPr>
          <w:sz w:val="24"/>
        </w:rPr>
        <w:t>4</w:t>
      </w:r>
      <w:r w:rsidR="0086415A" w:rsidRPr="000D03B4">
        <w:rPr>
          <w:sz w:val="24"/>
        </w:rPr>
        <w:t>日中华人民共和国财政部令第</w:t>
      </w:r>
      <w:r w:rsidR="0086415A" w:rsidRPr="000D03B4">
        <w:rPr>
          <w:sz w:val="24"/>
        </w:rPr>
        <w:t>90</w:t>
      </w:r>
      <w:r w:rsidR="0086415A" w:rsidRPr="000D03B4">
        <w:rPr>
          <w:sz w:val="24"/>
        </w:rPr>
        <w:t>号《财政部关于修改〈注册会计师注册办法〉等</w:t>
      </w:r>
      <w:r w:rsidR="0086415A" w:rsidRPr="000D03B4">
        <w:rPr>
          <w:sz w:val="24"/>
        </w:rPr>
        <w:t>6</w:t>
      </w:r>
      <w:r w:rsidR="0086415A" w:rsidRPr="000D03B4">
        <w:rPr>
          <w:sz w:val="24"/>
        </w:rPr>
        <w:t>部规章的决定》修正）；</w:t>
      </w:r>
    </w:p>
    <w:p w14:paraId="7DC09856" w14:textId="2596DD93" w:rsidR="00A745DB" w:rsidRPr="000D03B4" w:rsidRDefault="00D224E6" w:rsidP="009B4991">
      <w:pPr>
        <w:adjustRightInd w:val="0"/>
        <w:snapToGrid w:val="0"/>
        <w:spacing w:line="276" w:lineRule="auto"/>
        <w:ind w:firstLineChars="200" w:firstLine="480"/>
        <w:rPr>
          <w:sz w:val="24"/>
        </w:rPr>
      </w:pPr>
      <w:r w:rsidRPr="000D03B4">
        <w:rPr>
          <w:sz w:val="24"/>
        </w:rPr>
        <w:t>（</w:t>
      </w:r>
      <w:r w:rsidRPr="000D03B4">
        <w:rPr>
          <w:sz w:val="24"/>
        </w:rPr>
        <w:t>4</w:t>
      </w:r>
      <w:r w:rsidRPr="000D03B4">
        <w:rPr>
          <w:sz w:val="24"/>
        </w:rPr>
        <w:t>）</w:t>
      </w:r>
      <w:r w:rsidR="0086415A" w:rsidRPr="000D03B4">
        <w:rPr>
          <w:sz w:val="24"/>
        </w:rPr>
        <w:t>《事业单位国有资产管理暂行办法》（</w:t>
      </w:r>
      <w:r w:rsidR="00384F7C" w:rsidRPr="000D03B4">
        <w:rPr>
          <w:sz w:val="24"/>
        </w:rPr>
        <w:t>财政部令第</w:t>
      </w:r>
      <w:r w:rsidR="00384F7C" w:rsidRPr="000D03B4">
        <w:rPr>
          <w:sz w:val="24"/>
        </w:rPr>
        <w:t>36</w:t>
      </w:r>
      <w:r w:rsidR="00384F7C" w:rsidRPr="000D03B4">
        <w:rPr>
          <w:sz w:val="24"/>
        </w:rPr>
        <w:t>号</w:t>
      </w:r>
      <w:r w:rsidR="00A752E8" w:rsidRPr="000D03B4">
        <w:rPr>
          <w:sz w:val="24"/>
        </w:rPr>
        <w:t xml:space="preserve"> </w:t>
      </w:r>
      <w:r w:rsidR="00384F7C" w:rsidRPr="000D03B4">
        <w:rPr>
          <w:sz w:val="24"/>
        </w:rPr>
        <w:t>根据</w:t>
      </w:r>
      <w:r w:rsidR="00384F7C" w:rsidRPr="000D03B4">
        <w:rPr>
          <w:sz w:val="24"/>
        </w:rPr>
        <w:t>2017</w:t>
      </w:r>
      <w:r w:rsidR="00384F7C" w:rsidRPr="000D03B4">
        <w:rPr>
          <w:sz w:val="24"/>
        </w:rPr>
        <w:t>年</w:t>
      </w:r>
      <w:r w:rsidR="00384F7C" w:rsidRPr="000D03B4">
        <w:rPr>
          <w:sz w:val="24"/>
        </w:rPr>
        <w:t>12</w:t>
      </w:r>
      <w:r w:rsidR="00384F7C" w:rsidRPr="000D03B4">
        <w:rPr>
          <w:sz w:val="24"/>
        </w:rPr>
        <w:t>月</w:t>
      </w:r>
      <w:r w:rsidR="00384F7C" w:rsidRPr="000D03B4">
        <w:rPr>
          <w:sz w:val="24"/>
        </w:rPr>
        <w:t>4</w:t>
      </w:r>
      <w:r w:rsidR="00384F7C" w:rsidRPr="000D03B4">
        <w:rPr>
          <w:sz w:val="24"/>
        </w:rPr>
        <w:t>日财政部令第</w:t>
      </w:r>
      <w:r w:rsidR="00384F7C" w:rsidRPr="000D03B4">
        <w:rPr>
          <w:sz w:val="24"/>
        </w:rPr>
        <w:t>90</w:t>
      </w:r>
      <w:r w:rsidR="00384F7C" w:rsidRPr="000D03B4">
        <w:rPr>
          <w:sz w:val="24"/>
        </w:rPr>
        <w:t>号《财政部关于修改〈注册会计师注册办法〉等</w:t>
      </w:r>
      <w:r w:rsidR="00384F7C" w:rsidRPr="000D03B4">
        <w:rPr>
          <w:sz w:val="24"/>
        </w:rPr>
        <w:t>6</w:t>
      </w:r>
      <w:r w:rsidR="00384F7C" w:rsidRPr="000D03B4">
        <w:rPr>
          <w:sz w:val="24"/>
        </w:rPr>
        <w:t>部规章的决定》第一次修改</w:t>
      </w:r>
      <w:r w:rsidR="00384F7C" w:rsidRPr="000D03B4">
        <w:rPr>
          <w:sz w:val="24"/>
        </w:rPr>
        <w:t xml:space="preserve"> </w:t>
      </w:r>
      <w:r w:rsidR="00384F7C" w:rsidRPr="000D03B4">
        <w:rPr>
          <w:sz w:val="24"/>
        </w:rPr>
        <w:t>根据</w:t>
      </w:r>
      <w:r w:rsidR="00384F7C" w:rsidRPr="000D03B4">
        <w:rPr>
          <w:sz w:val="24"/>
        </w:rPr>
        <w:t>2019</w:t>
      </w:r>
      <w:r w:rsidR="00384F7C" w:rsidRPr="000D03B4">
        <w:rPr>
          <w:sz w:val="24"/>
        </w:rPr>
        <w:t>年</w:t>
      </w:r>
      <w:r w:rsidR="00384F7C" w:rsidRPr="000D03B4">
        <w:rPr>
          <w:sz w:val="24"/>
        </w:rPr>
        <w:t>3</w:t>
      </w:r>
      <w:r w:rsidR="00384F7C" w:rsidRPr="000D03B4">
        <w:rPr>
          <w:sz w:val="24"/>
        </w:rPr>
        <w:t>月</w:t>
      </w:r>
      <w:r w:rsidR="00384F7C" w:rsidRPr="000D03B4">
        <w:rPr>
          <w:sz w:val="24"/>
        </w:rPr>
        <w:t>29</w:t>
      </w:r>
      <w:r w:rsidR="00384F7C" w:rsidRPr="000D03B4">
        <w:rPr>
          <w:sz w:val="24"/>
        </w:rPr>
        <w:t>日《财政部关于修改</w:t>
      </w:r>
      <w:r w:rsidR="00384F7C" w:rsidRPr="000D03B4">
        <w:rPr>
          <w:sz w:val="24"/>
        </w:rPr>
        <w:t>&lt;</w:t>
      </w:r>
      <w:r w:rsidR="00384F7C" w:rsidRPr="000D03B4">
        <w:rPr>
          <w:sz w:val="24"/>
        </w:rPr>
        <w:t>事业单位国有资产管理暂行办法</w:t>
      </w:r>
      <w:r w:rsidR="00384F7C" w:rsidRPr="000D03B4">
        <w:rPr>
          <w:sz w:val="24"/>
        </w:rPr>
        <w:t>&gt;</w:t>
      </w:r>
      <w:r w:rsidR="00384F7C" w:rsidRPr="000D03B4">
        <w:rPr>
          <w:sz w:val="24"/>
        </w:rPr>
        <w:t>的决定》第二次修改</w:t>
      </w:r>
      <w:r w:rsidR="0086415A" w:rsidRPr="000D03B4">
        <w:rPr>
          <w:sz w:val="24"/>
        </w:rPr>
        <w:t>）；</w:t>
      </w:r>
    </w:p>
    <w:p w14:paraId="47CE7009" w14:textId="77777777" w:rsidR="00A745DB" w:rsidRPr="000D03B4" w:rsidRDefault="00D224E6" w:rsidP="009B4991">
      <w:pPr>
        <w:adjustRightInd w:val="0"/>
        <w:snapToGrid w:val="0"/>
        <w:spacing w:line="276" w:lineRule="auto"/>
        <w:ind w:firstLineChars="200" w:firstLine="480"/>
        <w:rPr>
          <w:sz w:val="24"/>
        </w:rPr>
      </w:pPr>
      <w:r w:rsidRPr="000D03B4">
        <w:rPr>
          <w:sz w:val="24"/>
        </w:rPr>
        <w:t>（</w:t>
      </w:r>
      <w:r w:rsidRPr="000D03B4">
        <w:rPr>
          <w:sz w:val="24"/>
        </w:rPr>
        <w:t>5</w:t>
      </w:r>
      <w:r w:rsidRPr="000D03B4">
        <w:rPr>
          <w:sz w:val="24"/>
        </w:rPr>
        <w:t>）</w:t>
      </w:r>
      <w:r w:rsidR="0086415A" w:rsidRPr="000D03B4">
        <w:rPr>
          <w:sz w:val="24"/>
        </w:rPr>
        <w:t>《中央级事业单位国有资产管理暂行办法》（财教〔</w:t>
      </w:r>
      <w:r w:rsidR="0086415A" w:rsidRPr="000D03B4">
        <w:rPr>
          <w:sz w:val="24"/>
        </w:rPr>
        <w:t>2008</w:t>
      </w:r>
      <w:r w:rsidR="0086415A" w:rsidRPr="000D03B4">
        <w:rPr>
          <w:sz w:val="24"/>
        </w:rPr>
        <w:t>〕</w:t>
      </w:r>
      <w:r w:rsidR="0086415A" w:rsidRPr="000D03B4">
        <w:rPr>
          <w:sz w:val="24"/>
        </w:rPr>
        <w:t>13</w:t>
      </w:r>
      <w:r w:rsidR="0086415A" w:rsidRPr="000D03B4">
        <w:rPr>
          <w:sz w:val="24"/>
        </w:rPr>
        <w:t>号）；</w:t>
      </w:r>
    </w:p>
    <w:p w14:paraId="3F84F9A6" w14:textId="77777777" w:rsidR="00A745DB" w:rsidRPr="000D03B4" w:rsidRDefault="00D224E6" w:rsidP="009B4991">
      <w:pPr>
        <w:adjustRightInd w:val="0"/>
        <w:snapToGrid w:val="0"/>
        <w:spacing w:line="276" w:lineRule="auto"/>
        <w:ind w:firstLineChars="200" w:firstLine="480"/>
        <w:rPr>
          <w:sz w:val="24"/>
        </w:rPr>
      </w:pPr>
      <w:r w:rsidRPr="000D03B4">
        <w:rPr>
          <w:sz w:val="24"/>
        </w:rPr>
        <w:t>（</w:t>
      </w:r>
      <w:r w:rsidRPr="000D03B4">
        <w:rPr>
          <w:sz w:val="24"/>
        </w:rPr>
        <w:t>6</w:t>
      </w:r>
      <w:r w:rsidRPr="000D03B4">
        <w:rPr>
          <w:sz w:val="24"/>
        </w:rPr>
        <w:t>）</w:t>
      </w:r>
      <w:r w:rsidR="0086415A" w:rsidRPr="000D03B4">
        <w:rPr>
          <w:sz w:val="24"/>
        </w:rPr>
        <w:t>《中央级事业单位国有资产使用管理暂行办法》（财教〔</w:t>
      </w:r>
      <w:r w:rsidR="0086415A" w:rsidRPr="000D03B4">
        <w:rPr>
          <w:sz w:val="24"/>
        </w:rPr>
        <w:t>2009</w:t>
      </w:r>
      <w:r w:rsidR="0086415A" w:rsidRPr="000D03B4">
        <w:rPr>
          <w:sz w:val="24"/>
        </w:rPr>
        <w:t>〕</w:t>
      </w:r>
      <w:r w:rsidR="0086415A" w:rsidRPr="000D03B4">
        <w:rPr>
          <w:sz w:val="24"/>
        </w:rPr>
        <w:t>192</w:t>
      </w:r>
      <w:r w:rsidR="0086415A" w:rsidRPr="000D03B4">
        <w:rPr>
          <w:sz w:val="24"/>
        </w:rPr>
        <w:t>号）；</w:t>
      </w:r>
    </w:p>
    <w:p w14:paraId="731EEFF7" w14:textId="2C7F699D" w:rsidR="00A745DB" w:rsidRPr="000D03B4" w:rsidRDefault="00D224E6" w:rsidP="009B4991">
      <w:pPr>
        <w:adjustRightInd w:val="0"/>
        <w:snapToGrid w:val="0"/>
        <w:spacing w:line="276" w:lineRule="auto"/>
        <w:ind w:firstLineChars="200" w:firstLine="480"/>
        <w:rPr>
          <w:sz w:val="24"/>
        </w:rPr>
      </w:pPr>
      <w:r w:rsidRPr="000D03B4">
        <w:rPr>
          <w:sz w:val="24"/>
        </w:rPr>
        <w:t>（</w:t>
      </w:r>
      <w:r w:rsidRPr="000D03B4">
        <w:rPr>
          <w:sz w:val="24"/>
        </w:rPr>
        <w:t>7</w:t>
      </w:r>
      <w:r w:rsidRPr="000D03B4">
        <w:rPr>
          <w:sz w:val="24"/>
        </w:rPr>
        <w:t>）</w:t>
      </w:r>
      <w:r w:rsidR="0086415A" w:rsidRPr="000D03B4">
        <w:rPr>
          <w:sz w:val="24"/>
        </w:rPr>
        <w:t>《企业国有资产交易监督管理办法》（国务院国资委</w:t>
      </w:r>
      <w:r w:rsidR="0086415A" w:rsidRPr="000D03B4">
        <w:rPr>
          <w:sz w:val="24"/>
        </w:rPr>
        <w:t xml:space="preserve"> </w:t>
      </w:r>
      <w:r w:rsidR="0086415A" w:rsidRPr="000D03B4">
        <w:rPr>
          <w:sz w:val="24"/>
        </w:rPr>
        <w:t>财政部令第</w:t>
      </w:r>
      <w:r w:rsidR="0086415A" w:rsidRPr="000D03B4">
        <w:rPr>
          <w:sz w:val="24"/>
        </w:rPr>
        <w:t>32</w:t>
      </w:r>
      <w:r w:rsidR="009F7CF6" w:rsidRPr="000D03B4">
        <w:rPr>
          <w:sz w:val="24"/>
        </w:rPr>
        <w:t>号）</w:t>
      </w:r>
      <w:r w:rsidR="00F31C48">
        <w:rPr>
          <w:rFonts w:hint="eastAsia"/>
          <w:sz w:val="24"/>
        </w:rPr>
        <w:t>等</w:t>
      </w:r>
      <w:r w:rsidR="0086415A" w:rsidRPr="000D03B4">
        <w:rPr>
          <w:sz w:val="24"/>
        </w:rPr>
        <w:t>。</w:t>
      </w:r>
      <w:bookmarkStart w:id="32" w:name="_Toc535836441"/>
      <w:bookmarkStart w:id="33" w:name="_Toc4784774"/>
      <w:bookmarkStart w:id="34" w:name="_Toc2778973"/>
      <w:bookmarkStart w:id="35" w:name="_Toc4603547"/>
      <w:bookmarkStart w:id="36" w:name="_Toc3385893"/>
      <w:bookmarkStart w:id="37" w:name="_Toc10395354"/>
    </w:p>
    <w:p w14:paraId="0A89C37B" w14:textId="4CF44A49" w:rsidR="00506AE0" w:rsidRPr="000D03B4" w:rsidRDefault="009F7A3A" w:rsidP="00421709">
      <w:pPr>
        <w:adjustRightInd w:val="0"/>
        <w:snapToGrid w:val="0"/>
        <w:spacing w:line="276" w:lineRule="auto"/>
        <w:ind w:firstLineChars="200" w:firstLine="482"/>
        <w:rPr>
          <w:b/>
          <w:sz w:val="24"/>
        </w:rPr>
      </w:pPr>
      <w:r w:rsidRPr="000D03B4">
        <w:rPr>
          <w:b/>
          <w:sz w:val="24"/>
        </w:rPr>
        <w:t>（二）</w:t>
      </w:r>
      <w:r w:rsidR="00122127" w:rsidRPr="000D03B4">
        <w:rPr>
          <w:b/>
          <w:sz w:val="24"/>
        </w:rPr>
        <w:t>国有企业</w:t>
      </w:r>
      <w:bookmarkEnd w:id="32"/>
      <w:r w:rsidR="00785C99" w:rsidRPr="000D03B4">
        <w:rPr>
          <w:b/>
          <w:sz w:val="24"/>
        </w:rPr>
        <w:t>评估类业务</w:t>
      </w:r>
      <w:r w:rsidR="006A17A2" w:rsidRPr="000D03B4">
        <w:rPr>
          <w:b/>
          <w:sz w:val="24"/>
        </w:rPr>
        <w:t>需求</w:t>
      </w:r>
      <w:bookmarkEnd w:id="33"/>
      <w:bookmarkEnd w:id="34"/>
      <w:bookmarkEnd w:id="35"/>
      <w:bookmarkEnd w:id="36"/>
      <w:bookmarkEnd w:id="37"/>
    </w:p>
    <w:p w14:paraId="621CFD47" w14:textId="1016FEE9" w:rsidR="00506AE0" w:rsidRPr="000D03B4" w:rsidRDefault="009F7A3A" w:rsidP="009B4991">
      <w:pPr>
        <w:adjustRightInd w:val="0"/>
        <w:snapToGrid w:val="0"/>
        <w:spacing w:line="276" w:lineRule="auto"/>
        <w:ind w:firstLineChars="200" w:firstLine="480"/>
        <w:rPr>
          <w:sz w:val="24"/>
        </w:rPr>
      </w:pPr>
      <w:bookmarkStart w:id="38" w:name="_Toc4784775"/>
      <w:bookmarkStart w:id="39" w:name="_Toc4603548"/>
      <w:bookmarkStart w:id="40" w:name="_Toc10395355"/>
      <w:r w:rsidRPr="000D03B4">
        <w:rPr>
          <w:sz w:val="24"/>
        </w:rPr>
        <w:t>1.</w:t>
      </w:r>
      <w:r w:rsidR="006A17A2" w:rsidRPr="000D03B4">
        <w:rPr>
          <w:sz w:val="24"/>
        </w:rPr>
        <w:t>业务来源</w:t>
      </w:r>
      <w:bookmarkEnd w:id="38"/>
      <w:bookmarkEnd w:id="39"/>
      <w:bookmarkEnd w:id="40"/>
    </w:p>
    <w:p w14:paraId="0D2D8475" w14:textId="0D007309" w:rsidR="00506AE0" w:rsidRPr="000D03B4" w:rsidRDefault="00BC4C6C" w:rsidP="00BC4C6C">
      <w:pPr>
        <w:adjustRightInd w:val="0"/>
        <w:snapToGrid w:val="0"/>
        <w:spacing w:line="276" w:lineRule="auto"/>
        <w:ind w:firstLineChars="200" w:firstLine="480"/>
        <w:rPr>
          <w:sz w:val="24"/>
        </w:rPr>
      </w:pPr>
      <w:r w:rsidRPr="000D03B4">
        <w:rPr>
          <w:rFonts w:hint="eastAsia"/>
          <w:sz w:val="24"/>
        </w:rPr>
        <w:t>在发展混合所有制经济和国有经济优化布局、调整结构过程中，触发评估类业务需求的经济行为包括国有企业股权投资、股权激励、僵尸企业处置、国有企业办教育医疗机构改革等，具体如下：</w:t>
      </w:r>
    </w:p>
    <w:p w14:paraId="263F330E" w14:textId="08DD481E" w:rsidR="00506AE0" w:rsidRPr="000D03B4" w:rsidRDefault="009F7A3A" w:rsidP="009B4991">
      <w:pPr>
        <w:adjustRightInd w:val="0"/>
        <w:snapToGrid w:val="0"/>
        <w:spacing w:line="276" w:lineRule="auto"/>
        <w:ind w:firstLineChars="200" w:firstLine="480"/>
        <w:rPr>
          <w:sz w:val="24"/>
        </w:rPr>
      </w:pPr>
      <w:bookmarkStart w:id="41" w:name="_Toc4784776"/>
      <w:bookmarkStart w:id="42" w:name="_Toc4603549"/>
      <w:bookmarkStart w:id="43" w:name="_Toc10395356"/>
      <w:r w:rsidRPr="000D03B4">
        <w:rPr>
          <w:sz w:val="24"/>
        </w:rPr>
        <w:t>（</w:t>
      </w:r>
      <w:r w:rsidRPr="000D03B4">
        <w:rPr>
          <w:sz w:val="24"/>
        </w:rPr>
        <w:t>1</w:t>
      </w:r>
      <w:r w:rsidRPr="000D03B4">
        <w:rPr>
          <w:sz w:val="24"/>
        </w:rPr>
        <w:t>）中央企业的股权投资</w:t>
      </w:r>
      <w:bookmarkEnd w:id="41"/>
      <w:bookmarkEnd w:id="42"/>
      <w:bookmarkEnd w:id="43"/>
    </w:p>
    <w:p w14:paraId="61965C8D" w14:textId="3DD73FDB" w:rsidR="00506AE0" w:rsidRPr="000D03B4" w:rsidRDefault="00122127" w:rsidP="009B4991">
      <w:pPr>
        <w:adjustRightInd w:val="0"/>
        <w:snapToGrid w:val="0"/>
        <w:spacing w:line="276" w:lineRule="auto"/>
        <w:ind w:firstLineChars="200" w:firstLine="480"/>
        <w:rPr>
          <w:sz w:val="24"/>
        </w:rPr>
      </w:pPr>
      <w:r w:rsidRPr="000D03B4">
        <w:rPr>
          <w:sz w:val="24"/>
        </w:rPr>
        <w:lastRenderedPageBreak/>
        <w:t>《中央企业投资监督管理办法》（国资委令第</w:t>
      </w:r>
      <w:r w:rsidRPr="000D03B4">
        <w:rPr>
          <w:sz w:val="24"/>
        </w:rPr>
        <w:t>34</w:t>
      </w:r>
      <w:r w:rsidRPr="000D03B4">
        <w:rPr>
          <w:sz w:val="24"/>
        </w:rPr>
        <w:t>号）和《中央企业境外投资监督管理办法》（国资委令第</w:t>
      </w:r>
      <w:r w:rsidRPr="000D03B4">
        <w:rPr>
          <w:sz w:val="24"/>
        </w:rPr>
        <w:t>35</w:t>
      </w:r>
      <w:r w:rsidRPr="000D03B4">
        <w:rPr>
          <w:sz w:val="24"/>
        </w:rPr>
        <w:t>号）</w:t>
      </w:r>
      <w:r w:rsidR="00A745DB" w:rsidRPr="000D03B4">
        <w:rPr>
          <w:sz w:val="24"/>
        </w:rPr>
        <w:t>规定</w:t>
      </w:r>
      <w:r w:rsidR="00A960BF" w:rsidRPr="000D03B4">
        <w:rPr>
          <w:sz w:val="24"/>
        </w:rPr>
        <w:t>，</w:t>
      </w:r>
      <w:r w:rsidRPr="000D03B4">
        <w:rPr>
          <w:sz w:val="24"/>
        </w:rPr>
        <w:t>中央企业在投资事前管理中</w:t>
      </w:r>
      <w:r w:rsidR="00581592" w:rsidRPr="000D03B4">
        <w:rPr>
          <w:sz w:val="24"/>
        </w:rPr>
        <w:t>，</w:t>
      </w:r>
      <w:r w:rsidRPr="000D03B4">
        <w:rPr>
          <w:sz w:val="24"/>
        </w:rPr>
        <w:t>“</w:t>
      </w:r>
      <w:r w:rsidRPr="000D03B4">
        <w:rPr>
          <w:sz w:val="24"/>
        </w:rPr>
        <w:t>股权投资项目应开展必要的尽职调查，并按要求履行资产评估或估值程序</w:t>
      </w:r>
      <w:r w:rsidRPr="000D03B4">
        <w:rPr>
          <w:sz w:val="24"/>
        </w:rPr>
        <w:t>”</w:t>
      </w:r>
      <w:r w:rsidRPr="000D03B4">
        <w:rPr>
          <w:sz w:val="24"/>
        </w:rPr>
        <w:t>；在投资风险管理中</w:t>
      </w:r>
      <w:r w:rsidR="00581592" w:rsidRPr="000D03B4">
        <w:rPr>
          <w:sz w:val="24"/>
        </w:rPr>
        <w:t>，</w:t>
      </w:r>
      <w:r w:rsidRPr="000D03B4">
        <w:rPr>
          <w:sz w:val="24"/>
        </w:rPr>
        <w:t>“</w:t>
      </w:r>
      <w:r w:rsidRPr="000D03B4">
        <w:rPr>
          <w:sz w:val="24"/>
        </w:rPr>
        <w:t>中央企业股权类重大投资项目在投资决策前应当由独立第三方有资质咨询机构出具投资项目风险评估报告</w:t>
      </w:r>
      <w:r w:rsidRPr="000D03B4">
        <w:rPr>
          <w:sz w:val="24"/>
        </w:rPr>
        <w:t>”</w:t>
      </w:r>
      <w:r w:rsidRPr="000D03B4">
        <w:rPr>
          <w:sz w:val="24"/>
        </w:rPr>
        <w:t>。</w:t>
      </w:r>
      <w:r w:rsidR="00A745DB" w:rsidRPr="000D03B4">
        <w:rPr>
          <w:sz w:val="24"/>
        </w:rPr>
        <w:t>因此</w:t>
      </w:r>
      <w:r w:rsidRPr="000D03B4">
        <w:rPr>
          <w:sz w:val="24"/>
        </w:rPr>
        <w:t>中央企业在开展股权投资前，应履行资产评估或者估值程序，在投后需要进行项目风险评估。</w:t>
      </w:r>
    </w:p>
    <w:p w14:paraId="60697D77" w14:textId="21BF641A" w:rsidR="00506AE0" w:rsidRPr="000D03B4" w:rsidRDefault="00122127" w:rsidP="009B4991">
      <w:pPr>
        <w:adjustRightInd w:val="0"/>
        <w:snapToGrid w:val="0"/>
        <w:spacing w:line="276" w:lineRule="auto"/>
        <w:ind w:firstLineChars="200" w:firstLine="480"/>
        <w:rPr>
          <w:sz w:val="24"/>
        </w:rPr>
      </w:pPr>
      <w:r w:rsidRPr="000D03B4">
        <w:rPr>
          <w:sz w:val="24"/>
        </w:rPr>
        <w:t>此处股权投资主要是</w:t>
      </w:r>
      <w:r w:rsidR="008D2A3C" w:rsidRPr="000D03B4">
        <w:rPr>
          <w:sz w:val="24"/>
        </w:rPr>
        <w:t>指</w:t>
      </w:r>
      <w:r w:rsidR="007359AB" w:rsidRPr="000D03B4">
        <w:rPr>
          <w:sz w:val="24"/>
        </w:rPr>
        <w:t>针对中央企业在股权投资业务开展前进行的</w:t>
      </w:r>
      <w:r w:rsidR="00DF277E" w:rsidRPr="000D03B4">
        <w:rPr>
          <w:sz w:val="24"/>
        </w:rPr>
        <w:t>业务</w:t>
      </w:r>
      <w:r w:rsidRPr="000D03B4">
        <w:rPr>
          <w:sz w:val="24"/>
        </w:rPr>
        <w:t>。</w:t>
      </w:r>
    </w:p>
    <w:p w14:paraId="49FF1BD1" w14:textId="0D224065" w:rsidR="00506AE0" w:rsidRPr="000D03B4" w:rsidRDefault="009F7A3A" w:rsidP="009B4991">
      <w:pPr>
        <w:adjustRightInd w:val="0"/>
        <w:snapToGrid w:val="0"/>
        <w:spacing w:line="276" w:lineRule="auto"/>
        <w:ind w:firstLineChars="200" w:firstLine="480"/>
        <w:rPr>
          <w:sz w:val="24"/>
        </w:rPr>
      </w:pPr>
      <w:bookmarkStart w:id="44" w:name="_Toc4784777"/>
      <w:bookmarkStart w:id="45" w:name="_Toc4603550"/>
      <w:bookmarkStart w:id="46" w:name="_Toc10395357"/>
      <w:r w:rsidRPr="000D03B4">
        <w:rPr>
          <w:sz w:val="24"/>
        </w:rPr>
        <w:t>（</w:t>
      </w:r>
      <w:r w:rsidRPr="000D03B4">
        <w:rPr>
          <w:sz w:val="24"/>
        </w:rPr>
        <w:t>2</w:t>
      </w:r>
      <w:r w:rsidRPr="000D03B4">
        <w:rPr>
          <w:sz w:val="24"/>
        </w:rPr>
        <w:t>）国有企业发展混合所有制经济</w:t>
      </w:r>
      <w:bookmarkEnd w:id="44"/>
      <w:bookmarkEnd w:id="45"/>
      <w:bookmarkEnd w:id="46"/>
    </w:p>
    <w:p w14:paraId="5ADAF5BE" w14:textId="035B2EEA" w:rsidR="00506AE0" w:rsidRPr="000D03B4" w:rsidRDefault="00122127" w:rsidP="009B4991">
      <w:pPr>
        <w:adjustRightInd w:val="0"/>
        <w:snapToGrid w:val="0"/>
        <w:spacing w:line="276" w:lineRule="auto"/>
        <w:ind w:firstLineChars="200" w:firstLine="480"/>
        <w:rPr>
          <w:sz w:val="24"/>
        </w:rPr>
      </w:pPr>
      <w:r w:rsidRPr="000D03B4">
        <w:rPr>
          <w:sz w:val="24"/>
        </w:rPr>
        <w:t>《关于国有企业发展混合所有制经济的意见》（国发〔</w:t>
      </w:r>
      <w:r w:rsidRPr="000D03B4">
        <w:rPr>
          <w:sz w:val="24"/>
        </w:rPr>
        <w:t>2015</w:t>
      </w:r>
      <w:r w:rsidRPr="000D03B4">
        <w:rPr>
          <w:sz w:val="24"/>
        </w:rPr>
        <w:t>〕</w:t>
      </w:r>
      <w:r w:rsidRPr="000D03B4">
        <w:rPr>
          <w:sz w:val="24"/>
        </w:rPr>
        <w:t>54</w:t>
      </w:r>
      <w:r w:rsidRPr="000D03B4">
        <w:rPr>
          <w:sz w:val="24"/>
        </w:rPr>
        <w:t>号）</w:t>
      </w:r>
      <w:r w:rsidR="00EE52D1" w:rsidRPr="000D03B4">
        <w:rPr>
          <w:sz w:val="24"/>
        </w:rPr>
        <w:t>，</w:t>
      </w:r>
      <w:r w:rsidRPr="000D03B4">
        <w:rPr>
          <w:sz w:val="24"/>
        </w:rPr>
        <w:t>指出</w:t>
      </w:r>
      <w:r w:rsidRPr="000D03B4">
        <w:rPr>
          <w:sz w:val="24"/>
        </w:rPr>
        <w:t>“</w:t>
      </w:r>
      <w:r w:rsidRPr="000D03B4">
        <w:rPr>
          <w:sz w:val="24"/>
        </w:rPr>
        <w:t>国有资本、集体资本、非公有资本等交叉持股、相互融合的混合所有制经济，是基本经济制度的重要实现形式</w:t>
      </w:r>
      <w:r w:rsidRPr="000D03B4">
        <w:rPr>
          <w:sz w:val="24"/>
        </w:rPr>
        <w:t>”</w:t>
      </w:r>
      <w:r w:rsidRPr="000D03B4">
        <w:rPr>
          <w:sz w:val="24"/>
        </w:rPr>
        <w:t>，</w:t>
      </w:r>
      <w:r w:rsidRPr="000D03B4">
        <w:rPr>
          <w:sz w:val="24"/>
        </w:rPr>
        <w:t>“</w:t>
      </w:r>
      <w:r w:rsidRPr="000D03B4">
        <w:rPr>
          <w:sz w:val="24"/>
        </w:rPr>
        <w:t>发展混合所有制经济，是深化国有企业改革的重要举措</w:t>
      </w:r>
      <w:r w:rsidR="00A745DB" w:rsidRPr="000D03B4">
        <w:rPr>
          <w:sz w:val="24"/>
        </w:rPr>
        <w:t>”</w:t>
      </w:r>
      <w:r w:rsidR="00A745DB" w:rsidRPr="000D03B4">
        <w:rPr>
          <w:sz w:val="24"/>
        </w:rPr>
        <w:t>。</w:t>
      </w:r>
      <w:r w:rsidRPr="000D03B4">
        <w:rPr>
          <w:sz w:val="24"/>
        </w:rPr>
        <w:t>以此为契机，</w:t>
      </w:r>
      <w:r w:rsidR="00A745DB" w:rsidRPr="000D03B4">
        <w:rPr>
          <w:sz w:val="24"/>
        </w:rPr>
        <w:t>员工持股和股权奖励等产生</w:t>
      </w:r>
      <w:r w:rsidR="006D333F" w:rsidRPr="000D03B4">
        <w:rPr>
          <w:sz w:val="24"/>
        </w:rPr>
        <w:t>评估类业务</w:t>
      </w:r>
      <w:r w:rsidR="00A745DB" w:rsidRPr="000D03B4">
        <w:rPr>
          <w:sz w:val="24"/>
        </w:rPr>
        <w:t>需求的经济行为不断出现</w:t>
      </w:r>
      <w:r w:rsidRPr="000D03B4">
        <w:rPr>
          <w:sz w:val="24"/>
        </w:rPr>
        <w:t>，具体如下：</w:t>
      </w:r>
    </w:p>
    <w:p w14:paraId="66B46E17" w14:textId="3E0C491E" w:rsidR="00506AE0" w:rsidRPr="000D03B4" w:rsidRDefault="00122127" w:rsidP="009B4991">
      <w:pPr>
        <w:adjustRightInd w:val="0"/>
        <w:snapToGrid w:val="0"/>
        <w:spacing w:line="276" w:lineRule="auto"/>
        <w:ind w:firstLineChars="200" w:firstLine="480"/>
        <w:rPr>
          <w:sz w:val="24"/>
        </w:rPr>
      </w:pPr>
      <w:r w:rsidRPr="000D03B4">
        <w:rPr>
          <w:sz w:val="24"/>
        </w:rPr>
        <w:t>国有控股混合所有制企业开展员工持股</w:t>
      </w:r>
      <w:r w:rsidR="00A745DB" w:rsidRPr="000D03B4">
        <w:rPr>
          <w:sz w:val="24"/>
        </w:rPr>
        <w:t>。</w:t>
      </w:r>
      <w:r w:rsidRPr="000D03B4">
        <w:rPr>
          <w:sz w:val="24"/>
        </w:rPr>
        <w:t>2016</w:t>
      </w:r>
      <w:r w:rsidRPr="000D03B4">
        <w:rPr>
          <w:sz w:val="24"/>
        </w:rPr>
        <w:t>年</w:t>
      </w:r>
      <w:r w:rsidRPr="000D03B4">
        <w:rPr>
          <w:sz w:val="24"/>
        </w:rPr>
        <w:t>12</w:t>
      </w:r>
      <w:r w:rsidRPr="000D03B4">
        <w:rPr>
          <w:sz w:val="24"/>
        </w:rPr>
        <w:t>月，国务院国资委、财政部、证监会</w:t>
      </w:r>
      <w:r w:rsidR="00CF3855" w:rsidRPr="000D03B4">
        <w:rPr>
          <w:sz w:val="24"/>
        </w:rPr>
        <w:t>发布</w:t>
      </w:r>
      <w:r w:rsidRPr="000D03B4">
        <w:rPr>
          <w:sz w:val="24"/>
        </w:rPr>
        <w:t>《关于国有控股混合所有制企业开展员工持股试点的意见》（国资发改革〔</w:t>
      </w:r>
      <w:r w:rsidRPr="000D03B4">
        <w:rPr>
          <w:sz w:val="24"/>
        </w:rPr>
        <w:t>2016</w:t>
      </w:r>
      <w:r w:rsidRPr="000D03B4">
        <w:rPr>
          <w:sz w:val="24"/>
        </w:rPr>
        <w:t>〕</w:t>
      </w:r>
      <w:r w:rsidRPr="000D03B4">
        <w:rPr>
          <w:sz w:val="24"/>
        </w:rPr>
        <w:t>133</w:t>
      </w:r>
      <w:r w:rsidRPr="000D03B4">
        <w:rPr>
          <w:sz w:val="24"/>
        </w:rPr>
        <w:t>号），对处于充分竞争领域的商业类企业进行员工持股试点。同时规定</w:t>
      </w:r>
      <w:r w:rsidRPr="000D03B4">
        <w:rPr>
          <w:sz w:val="24"/>
        </w:rPr>
        <w:t>“</w:t>
      </w:r>
      <w:r w:rsidRPr="000D03B4">
        <w:rPr>
          <w:sz w:val="24"/>
        </w:rPr>
        <w:t>金融、文化等国有企业实施员工持股，中央另有规定的依其规定执行。国有科技型企业的股权和分红激励，按国务院有关规定执行</w:t>
      </w:r>
      <w:r w:rsidRPr="000D03B4">
        <w:rPr>
          <w:sz w:val="24"/>
        </w:rPr>
        <w:t>”</w:t>
      </w:r>
      <w:r w:rsidR="001D58DE" w:rsidRPr="000D03B4">
        <w:rPr>
          <w:sz w:val="24"/>
        </w:rPr>
        <w:t>。</w:t>
      </w:r>
      <w:r w:rsidRPr="000D03B4">
        <w:rPr>
          <w:sz w:val="24"/>
        </w:rPr>
        <w:t>文件规定员工出资和入股价格</w:t>
      </w:r>
      <w:r w:rsidR="00A745DB" w:rsidRPr="000D03B4">
        <w:rPr>
          <w:sz w:val="24"/>
        </w:rPr>
        <w:t>等</w:t>
      </w:r>
      <w:r w:rsidRPr="000D03B4">
        <w:rPr>
          <w:sz w:val="24"/>
        </w:rPr>
        <w:t>应以评估为基础：</w:t>
      </w:r>
    </w:p>
    <w:p w14:paraId="022EF9A4" w14:textId="7ED54B41" w:rsidR="00506AE0" w:rsidRPr="000D03B4" w:rsidRDefault="00122127" w:rsidP="009B4991">
      <w:pPr>
        <w:adjustRightInd w:val="0"/>
        <w:snapToGrid w:val="0"/>
        <w:spacing w:line="276" w:lineRule="auto"/>
        <w:ind w:firstLineChars="200" w:firstLine="480"/>
        <w:rPr>
          <w:sz w:val="24"/>
        </w:rPr>
      </w:pPr>
      <w:r w:rsidRPr="000D03B4">
        <w:rPr>
          <w:sz w:val="24"/>
        </w:rPr>
        <w:t>国有科技型企业股权和分红激励</w:t>
      </w:r>
      <w:r w:rsidR="00A745DB" w:rsidRPr="000D03B4">
        <w:rPr>
          <w:sz w:val="24"/>
        </w:rPr>
        <w:t>。</w:t>
      </w:r>
      <w:r w:rsidRPr="000D03B4">
        <w:rPr>
          <w:sz w:val="24"/>
        </w:rPr>
        <w:t>《国有科技型企业股权和分红激励暂行办法》（财资〔</w:t>
      </w:r>
      <w:r w:rsidRPr="000D03B4">
        <w:rPr>
          <w:sz w:val="24"/>
        </w:rPr>
        <w:t>2016</w:t>
      </w:r>
      <w:r w:rsidRPr="000D03B4">
        <w:rPr>
          <w:sz w:val="24"/>
        </w:rPr>
        <w:t>〕</w:t>
      </w:r>
      <w:r w:rsidRPr="000D03B4">
        <w:rPr>
          <w:sz w:val="24"/>
        </w:rPr>
        <w:t>4</w:t>
      </w:r>
      <w:r w:rsidRPr="000D03B4">
        <w:rPr>
          <w:sz w:val="24"/>
        </w:rPr>
        <w:t>号）第</w:t>
      </w:r>
      <w:r w:rsidRPr="000D03B4">
        <w:rPr>
          <w:sz w:val="24"/>
        </w:rPr>
        <w:t>11</w:t>
      </w:r>
      <w:r w:rsidRPr="000D03B4">
        <w:rPr>
          <w:sz w:val="24"/>
        </w:rPr>
        <w:t>条规定</w:t>
      </w:r>
      <w:r w:rsidRPr="000D03B4">
        <w:rPr>
          <w:sz w:val="24"/>
        </w:rPr>
        <w:t>“</w:t>
      </w:r>
      <w:r w:rsidRPr="000D03B4">
        <w:rPr>
          <w:sz w:val="24"/>
        </w:rPr>
        <w:t>企业实施股权出售，应按不低于资产评估结果的价格，以协议方式将企业股权有偿出售给激励对象。资产评估结果，应当根据国有资产评估的管理规定，报相关部门、机构或者企业核准或者备案</w:t>
      </w:r>
      <w:r w:rsidRPr="000D03B4">
        <w:rPr>
          <w:sz w:val="24"/>
        </w:rPr>
        <w:t>”</w:t>
      </w:r>
      <w:r w:rsidR="00A745DB" w:rsidRPr="000D03B4">
        <w:rPr>
          <w:sz w:val="24"/>
        </w:rPr>
        <w:t>。</w:t>
      </w:r>
      <w:r w:rsidRPr="000D03B4">
        <w:rPr>
          <w:sz w:val="24"/>
        </w:rPr>
        <w:t>第</w:t>
      </w:r>
      <w:r w:rsidRPr="000D03B4">
        <w:rPr>
          <w:sz w:val="24"/>
        </w:rPr>
        <w:t>14</w:t>
      </w:r>
      <w:r w:rsidRPr="000D03B4">
        <w:rPr>
          <w:sz w:val="24"/>
        </w:rPr>
        <w:t>条规定</w:t>
      </w:r>
      <w:r w:rsidRPr="000D03B4">
        <w:rPr>
          <w:sz w:val="24"/>
        </w:rPr>
        <w:t>“</w:t>
      </w:r>
      <w:r w:rsidRPr="000D03B4">
        <w:rPr>
          <w:sz w:val="24"/>
        </w:rPr>
        <w:t>企业用于股权奖励的激励额，应当依据经核准或者备案的资产评估结果折合股权，并确定向每个激励对象奖励的股权</w:t>
      </w:r>
      <w:r w:rsidRPr="000D03B4">
        <w:rPr>
          <w:sz w:val="24"/>
        </w:rPr>
        <w:t>”</w:t>
      </w:r>
      <w:r w:rsidR="00A745DB" w:rsidRPr="000D03B4">
        <w:rPr>
          <w:sz w:val="24"/>
        </w:rPr>
        <w:t>。</w:t>
      </w:r>
    </w:p>
    <w:p w14:paraId="2AD4A288" w14:textId="084C20EF" w:rsidR="00506AE0" w:rsidRPr="000D03B4" w:rsidRDefault="00122127" w:rsidP="009B4991">
      <w:pPr>
        <w:adjustRightInd w:val="0"/>
        <w:snapToGrid w:val="0"/>
        <w:spacing w:line="276" w:lineRule="auto"/>
        <w:ind w:firstLineChars="200" w:firstLine="480"/>
        <w:rPr>
          <w:sz w:val="24"/>
        </w:rPr>
      </w:pPr>
      <w:r w:rsidRPr="000D03B4">
        <w:rPr>
          <w:sz w:val="24"/>
        </w:rPr>
        <w:t>中央企业及其</w:t>
      </w:r>
      <w:r w:rsidR="008D2A3C" w:rsidRPr="000D03B4">
        <w:rPr>
          <w:sz w:val="24"/>
        </w:rPr>
        <w:t>属</w:t>
      </w:r>
      <w:r w:rsidRPr="000D03B4">
        <w:rPr>
          <w:sz w:val="24"/>
        </w:rPr>
        <w:t>科技型企业股权和分红</w:t>
      </w:r>
      <w:r w:rsidR="00865FFF" w:rsidRPr="000D03B4">
        <w:rPr>
          <w:sz w:val="24"/>
        </w:rPr>
        <w:t>激励</w:t>
      </w:r>
      <w:r w:rsidR="00A745DB" w:rsidRPr="000D03B4">
        <w:rPr>
          <w:sz w:val="24"/>
        </w:rPr>
        <w:t>。</w:t>
      </w:r>
      <w:r w:rsidRPr="000D03B4">
        <w:rPr>
          <w:sz w:val="24"/>
        </w:rPr>
        <w:t>《国有科技型企业股权和分红激励暂行办法》（财资〔</w:t>
      </w:r>
      <w:r w:rsidRPr="000D03B4">
        <w:rPr>
          <w:sz w:val="24"/>
        </w:rPr>
        <w:t>2016</w:t>
      </w:r>
      <w:r w:rsidRPr="000D03B4">
        <w:rPr>
          <w:sz w:val="24"/>
        </w:rPr>
        <w:t>〕</w:t>
      </w:r>
      <w:r w:rsidRPr="000D03B4">
        <w:rPr>
          <w:sz w:val="24"/>
        </w:rPr>
        <w:t>4</w:t>
      </w:r>
      <w:r w:rsidRPr="000D03B4">
        <w:rPr>
          <w:sz w:val="24"/>
        </w:rPr>
        <w:t>号）</w:t>
      </w:r>
      <w:r w:rsidR="006626A1" w:rsidRPr="000D03B4">
        <w:rPr>
          <w:sz w:val="24"/>
        </w:rPr>
        <w:t>和</w:t>
      </w:r>
      <w:r w:rsidRPr="000D03B4">
        <w:rPr>
          <w:sz w:val="24"/>
        </w:rPr>
        <w:t>《关于做好中央科技型企业股权和分红激励工作的通知》（国资发分配〔</w:t>
      </w:r>
      <w:r w:rsidRPr="000D03B4">
        <w:rPr>
          <w:sz w:val="24"/>
        </w:rPr>
        <w:t>2016</w:t>
      </w:r>
      <w:r w:rsidRPr="000D03B4">
        <w:rPr>
          <w:sz w:val="24"/>
        </w:rPr>
        <w:t>〕</w:t>
      </w:r>
      <w:r w:rsidRPr="000D03B4">
        <w:rPr>
          <w:sz w:val="24"/>
        </w:rPr>
        <w:t>274</w:t>
      </w:r>
      <w:r w:rsidR="006626A1" w:rsidRPr="000D03B4">
        <w:rPr>
          <w:sz w:val="24"/>
        </w:rPr>
        <w:t>号）</w:t>
      </w:r>
      <w:r w:rsidRPr="000D03B4">
        <w:rPr>
          <w:sz w:val="24"/>
        </w:rPr>
        <w:t>对中央企业及所属国有科技型企业股权和分红激励做出规定和要求，</w:t>
      </w:r>
      <w:r w:rsidR="00A745DB" w:rsidRPr="000D03B4">
        <w:rPr>
          <w:sz w:val="24"/>
        </w:rPr>
        <w:t>明确</w:t>
      </w:r>
      <w:r w:rsidRPr="000D03B4">
        <w:rPr>
          <w:sz w:val="24"/>
        </w:rPr>
        <w:t>中央企业及所属国有科技型企业股权和分红中涉及股权出售和股权奖励时应以核准或者备案的资产评估结果为基础。</w:t>
      </w:r>
    </w:p>
    <w:p w14:paraId="3A6BFCD2" w14:textId="79BD372A" w:rsidR="00506AE0" w:rsidRPr="000D03B4" w:rsidRDefault="009F7A3A" w:rsidP="009B4991">
      <w:pPr>
        <w:adjustRightInd w:val="0"/>
        <w:snapToGrid w:val="0"/>
        <w:spacing w:line="276" w:lineRule="auto"/>
        <w:ind w:firstLineChars="200" w:firstLine="480"/>
        <w:rPr>
          <w:sz w:val="24"/>
        </w:rPr>
      </w:pPr>
      <w:bookmarkStart w:id="47" w:name="_Toc4603551"/>
      <w:bookmarkStart w:id="48" w:name="_Toc4784778"/>
      <w:bookmarkStart w:id="49" w:name="_Toc10395358"/>
      <w:r w:rsidRPr="000D03B4">
        <w:rPr>
          <w:sz w:val="24"/>
        </w:rPr>
        <w:t>（</w:t>
      </w:r>
      <w:r w:rsidRPr="000D03B4">
        <w:rPr>
          <w:sz w:val="24"/>
        </w:rPr>
        <w:t>3</w:t>
      </w:r>
      <w:r w:rsidRPr="000D03B4">
        <w:rPr>
          <w:sz w:val="24"/>
        </w:rPr>
        <w:t>）化解</w:t>
      </w:r>
      <w:r w:rsidR="008D2A3C" w:rsidRPr="000D03B4">
        <w:rPr>
          <w:sz w:val="24"/>
        </w:rPr>
        <w:t>过剩</w:t>
      </w:r>
      <w:r w:rsidRPr="000D03B4">
        <w:rPr>
          <w:sz w:val="24"/>
        </w:rPr>
        <w:t>产能</w:t>
      </w:r>
      <w:bookmarkEnd w:id="47"/>
      <w:bookmarkEnd w:id="48"/>
      <w:bookmarkEnd w:id="49"/>
    </w:p>
    <w:p w14:paraId="5BCECDB8" w14:textId="14866B4D" w:rsidR="00506AE0" w:rsidRPr="000D03B4" w:rsidRDefault="00122127" w:rsidP="009B4991">
      <w:pPr>
        <w:adjustRightInd w:val="0"/>
        <w:snapToGrid w:val="0"/>
        <w:spacing w:line="276" w:lineRule="auto"/>
        <w:ind w:firstLineChars="200" w:firstLine="480"/>
        <w:rPr>
          <w:sz w:val="24"/>
        </w:rPr>
      </w:pPr>
      <w:r w:rsidRPr="000D03B4">
        <w:rPr>
          <w:sz w:val="24"/>
        </w:rPr>
        <w:t>《关于化解产能严重过剩矛盾的指导意见》（国发〔</w:t>
      </w:r>
      <w:r w:rsidRPr="000D03B4">
        <w:rPr>
          <w:sz w:val="24"/>
        </w:rPr>
        <w:t>2013</w:t>
      </w:r>
      <w:r w:rsidRPr="000D03B4">
        <w:rPr>
          <w:sz w:val="24"/>
        </w:rPr>
        <w:t>〕</w:t>
      </w:r>
      <w:r w:rsidRPr="000D03B4">
        <w:rPr>
          <w:sz w:val="24"/>
        </w:rPr>
        <w:t>41</w:t>
      </w:r>
      <w:r w:rsidRPr="000D03B4">
        <w:rPr>
          <w:sz w:val="24"/>
        </w:rPr>
        <w:t>号）指出</w:t>
      </w:r>
      <w:r w:rsidRPr="000D03B4">
        <w:rPr>
          <w:sz w:val="24"/>
        </w:rPr>
        <w:t>“</w:t>
      </w:r>
      <w:r w:rsidRPr="000D03B4">
        <w:rPr>
          <w:sz w:val="24"/>
        </w:rPr>
        <w:t>化解产能严重过剩矛盾是当前和今后一个时期推进产业结构调整的工作重点。积极有效地化解钢铁、水泥、电解铝、平板玻璃、船舶等行业产能严重过剩矛盾</w:t>
      </w:r>
      <w:r w:rsidRPr="000D03B4">
        <w:rPr>
          <w:sz w:val="24"/>
        </w:rPr>
        <w:t>”</w:t>
      </w:r>
      <w:r w:rsidRPr="000D03B4">
        <w:rPr>
          <w:sz w:val="24"/>
        </w:rPr>
        <w:t>。在此过程中涉及的评估经济行为</w:t>
      </w:r>
      <w:r w:rsidR="00A745DB" w:rsidRPr="000D03B4">
        <w:rPr>
          <w:sz w:val="24"/>
        </w:rPr>
        <w:t>主要</w:t>
      </w:r>
      <w:r w:rsidRPr="000D03B4">
        <w:rPr>
          <w:sz w:val="24"/>
        </w:rPr>
        <w:t>有：</w:t>
      </w:r>
    </w:p>
    <w:p w14:paraId="2EA1BBBB" w14:textId="70F9E40A" w:rsidR="00506AE0" w:rsidRPr="000D03B4" w:rsidRDefault="00122127" w:rsidP="009B4991">
      <w:pPr>
        <w:adjustRightInd w:val="0"/>
        <w:snapToGrid w:val="0"/>
        <w:spacing w:line="276" w:lineRule="auto"/>
        <w:ind w:firstLineChars="200" w:firstLine="480"/>
        <w:rPr>
          <w:sz w:val="24"/>
        </w:rPr>
      </w:pPr>
      <w:r w:rsidRPr="000D03B4">
        <w:rPr>
          <w:sz w:val="24"/>
        </w:rPr>
        <w:t>僵尸企业处置</w:t>
      </w:r>
      <w:r w:rsidR="00A745DB" w:rsidRPr="000D03B4">
        <w:rPr>
          <w:sz w:val="24"/>
        </w:rPr>
        <w:t>。</w:t>
      </w:r>
      <w:r w:rsidRPr="000D03B4">
        <w:rPr>
          <w:sz w:val="24"/>
        </w:rPr>
        <w:t>2016</w:t>
      </w:r>
      <w:r w:rsidRPr="000D03B4">
        <w:rPr>
          <w:sz w:val="24"/>
        </w:rPr>
        <w:t>年国务院国资委摸底梳理出中央企业需要专项处置和治理的</w:t>
      </w:r>
      <w:r w:rsidRPr="000D03B4">
        <w:rPr>
          <w:sz w:val="24"/>
        </w:rPr>
        <w:t>“</w:t>
      </w:r>
      <w:r w:rsidRPr="000D03B4">
        <w:rPr>
          <w:sz w:val="24"/>
        </w:rPr>
        <w:t>僵尸企业</w:t>
      </w:r>
      <w:r w:rsidRPr="000D03B4">
        <w:rPr>
          <w:sz w:val="24"/>
        </w:rPr>
        <w:t>”</w:t>
      </w:r>
      <w:r w:rsidRPr="000D03B4">
        <w:rPr>
          <w:sz w:val="24"/>
        </w:rPr>
        <w:t>及特困企业</w:t>
      </w:r>
      <w:r w:rsidRPr="000D03B4">
        <w:rPr>
          <w:sz w:val="24"/>
        </w:rPr>
        <w:t>2041</w:t>
      </w:r>
      <w:r w:rsidRPr="000D03B4">
        <w:rPr>
          <w:sz w:val="24"/>
        </w:rPr>
        <w:t>户，涉及资产</w:t>
      </w:r>
      <w:r w:rsidRPr="000D03B4">
        <w:rPr>
          <w:sz w:val="24"/>
        </w:rPr>
        <w:t>3</w:t>
      </w:r>
      <w:proofErr w:type="gramStart"/>
      <w:r w:rsidRPr="000D03B4">
        <w:rPr>
          <w:sz w:val="24"/>
        </w:rPr>
        <w:t>万亿</w:t>
      </w:r>
      <w:proofErr w:type="gramEnd"/>
      <w:r w:rsidRPr="000D03B4">
        <w:rPr>
          <w:sz w:val="24"/>
        </w:rPr>
        <w:t>元。</w:t>
      </w:r>
      <w:r w:rsidR="00A745DB" w:rsidRPr="000D03B4">
        <w:rPr>
          <w:sz w:val="24"/>
        </w:rPr>
        <w:t>另据</w:t>
      </w:r>
      <w:r w:rsidRPr="000D03B4">
        <w:rPr>
          <w:sz w:val="24"/>
        </w:rPr>
        <w:t>2016</w:t>
      </w:r>
      <w:r w:rsidRPr="000D03B4">
        <w:rPr>
          <w:sz w:val="24"/>
        </w:rPr>
        <w:t>年中国人民大学《中国僵尸企业研究报告》指出，电力、热力、冶金、石油加工等行业中</w:t>
      </w:r>
      <w:r w:rsidRPr="000D03B4">
        <w:rPr>
          <w:sz w:val="24"/>
        </w:rPr>
        <w:t>“</w:t>
      </w:r>
      <w:r w:rsidRPr="000D03B4">
        <w:rPr>
          <w:sz w:val="24"/>
        </w:rPr>
        <w:t>僵尸企业</w:t>
      </w:r>
      <w:r w:rsidRPr="000D03B4">
        <w:rPr>
          <w:sz w:val="24"/>
        </w:rPr>
        <w:t>”</w:t>
      </w:r>
      <w:r w:rsidRPr="000D03B4">
        <w:rPr>
          <w:sz w:val="24"/>
        </w:rPr>
        <w:t>的比</w:t>
      </w:r>
      <w:r w:rsidRPr="000D03B4">
        <w:rPr>
          <w:sz w:val="24"/>
        </w:rPr>
        <w:lastRenderedPageBreak/>
        <w:t>例较高，其中钢铁</w:t>
      </w:r>
      <w:r w:rsidR="00AE3AB8" w:rsidRPr="000D03B4">
        <w:rPr>
          <w:sz w:val="24"/>
        </w:rPr>
        <w:t>行业</w:t>
      </w:r>
      <w:r w:rsidRPr="000D03B4">
        <w:rPr>
          <w:sz w:val="24"/>
        </w:rPr>
        <w:t>的比例是</w:t>
      </w:r>
      <w:r w:rsidRPr="000D03B4">
        <w:rPr>
          <w:sz w:val="24"/>
        </w:rPr>
        <w:t>51.43%</w:t>
      </w:r>
      <w:r w:rsidRPr="000D03B4">
        <w:rPr>
          <w:sz w:val="24"/>
        </w:rPr>
        <w:t>、房地产</w:t>
      </w:r>
      <w:r w:rsidR="00AE3AB8" w:rsidRPr="000D03B4">
        <w:rPr>
          <w:sz w:val="24"/>
        </w:rPr>
        <w:t>行业</w:t>
      </w:r>
      <w:r w:rsidRPr="000D03B4">
        <w:rPr>
          <w:sz w:val="24"/>
        </w:rPr>
        <w:t>为</w:t>
      </w:r>
      <w:r w:rsidRPr="000D03B4">
        <w:rPr>
          <w:sz w:val="24"/>
        </w:rPr>
        <w:t>44.53%</w:t>
      </w:r>
      <w:r w:rsidRPr="000D03B4">
        <w:rPr>
          <w:sz w:val="24"/>
        </w:rPr>
        <w:t>、建筑装饰</w:t>
      </w:r>
      <w:r w:rsidR="00AE3AB8" w:rsidRPr="000D03B4">
        <w:rPr>
          <w:sz w:val="24"/>
        </w:rPr>
        <w:t>行业</w:t>
      </w:r>
      <w:r w:rsidRPr="000D03B4">
        <w:rPr>
          <w:sz w:val="24"/>
        </w:rPr>
        <w:t>为</w:t>
      </w:r>
      <w:r w:rsidRPr="000D03B4">
        <w:rPr>
          <w:sz w:val="24"/>
        </w:rPr>
        <w:t>31.76%</w:t>
      </w:r>
      <w:r w:rsidRPr="000D03B4">
        <w:rPr>
          <w:sz w:val="24"/>
        </w:rPr>
        <w:t>。</w:t>
      </w:r>
    </w:p>
    <w:p w14:paraId="109EB0D5" w14:textId="1C7DC573" w:rsidR="00506AE0" w:rsidRPr="000D03B4" w:rsidRDefault="00122127" w:rsidP="009B4991">
      <w:pPr>
        <w:adjustRightInd w:val="0"/>
        <w:snapToGrid w:val="0"/>
        <w:spacing w:line="276" w:lineRule="auto"/>
        <w:ind w:firstLineChars="200" w:firstLine="480"/>
        <w:rPr>
          <w:sz w:val="24"/>
        </w:rPr>
      </w:pPr>
      <w:r w:rsidRPr="000D03B4">
        <w:rPr>
          <w:sz w:val="24"/>
        </w:rPr>
        <w:t>过剩产能资产处置</w:t>
      </w:r>
      <w:r w:rsidR="000B4B8E" w:rsidRPr="000D03B4">
        <w:rPr>
          <w:sz w:val="24"/>
        </w:rPr>
        <w:t>。</w:t>
      </w:r>
      <w:r w:rsidRPr="000D03B4">
        <w:rPr>
          <w:sz w:val="24"/>
        </w:rPr>
        <w:t>2016</w:t>
      </w:r>
      <w:r w:rsidRPr="000D03B4">
        <w:rPr>
          <w:sz w:val="24"/>
        </w:rPr>
        <w:t>年化解钢铁煤炭过剩产能，涉及</w:t>
      </w:r>
      <w:r w:rsidRPr="000D03B4">
        <w:rPr>
          <w:sz w:val="24"/>
        </w:rPr>
        <w:t>28</w:t>
      </w:r>
      <w:r w:rsidRPr="000D03B4">
        <w:rPr>
          <w:sz w:val="24"/>
        </w:rPr>
        <w:t>个省份</w:t>
      </w:r>
      <w:r w:rsidRPr="000D03B4">
        <w:rPr>
          <w:sz w:val="24"/>
        </w:rPr>
        <w:t>1905</w:t>
      </w:r>
      <w:r w:rsidRPr="000D03B4">
        <w:rPr>
          <w:sz w:val="24"/>
        </w:rPr>
        <w:t>家企业</w:t>
      </w:r>
      <w:r w:rsidR="000B4B8E" w:rsidRPr="000D03B4">
        <w:rPr>
          <w:sz w:val="24"/>
        </w:rPr>
        <w:t>。</w:t>
      </w:r>
      <w:r w:rsidRPr="000D03B4">
        <w:rPr>
          <w:sz w:val="24"/>
        </w:rPr>
        <w:t>2018</w:t>
      </w:r>
      <w:r w:rsidRPr="000D03B4">
        <w:rPr>
          <w:sz w:val="24"/>
        </w:rPr>
        <w:t>年国家发展和改革委员会、工业和信息</w:t>
      </w:r>
      <w:r w:rsidR="00CF3855" w:rsidRPr="000D03B4">
        <w:rPr>
          <w:sz w:val="24"/>
        </w:rPr>
        <w:t>化部、国家能源局、财政部、人力资源和社会保障部、国务院国资委</w:t>
      </w:r>
      <w:r w:rsidRPr="000D03B4">
        <w:rPr>
          <w:sz w:val="24"/>
        </w:rPr>
        <w:t>《关于做好</w:t>
      </w:r>
      <w:r w:rsidRPr="000D03B4">
        <w:rPr>
          <w:sz w:val="24"/>
        </w:rPr>
        <w:t>2018</w:t>
      </w:r>
      <w:r w:rsidRPr="000D03B4">
        <w:rPr>
          <w:sz w:val="24"/>
        </w:rPr>
        <w:t>年重点领域化解过剩产能工作的通知》（</w:t>
      </w:r>
      <w:proofErr w:type="gramStart"/>
      <w:r w:rsidRPr="000D03B4">
        <w:rPr>
          <w:sz w:val="24"/>
        </w:rPr>
        <w:t>发改运行</w:t>
      </w:r>
      <w:proofErr w:type="gramEnd"/>
      <w:r w:rsidRPr="000D03B4">
        <w:rPr>
          <w:sz w:val="24"/>
        </w:rPr>
        <w:t>〔</w:t>
      </w:r>
      <w:r w:rsidRPr="000D03B4">
        <w:rPr>
          <w:sz w:val="24"/>
        </w:rPr>
        <w:t>2018</w:t>
      </w:r>
      <w:r w:rsidRPr="000D03B4">
        <w:rPr>
          <w:sz w:val="24"/>
        </w:rPr>
        <w:t>〕</w:t>
      </w:r>
      <w:r w:rsidRPr="000D03B4">
        <w:rPr>
          <w:sz w:val="24"/>
        </w:rPr>
        <w:t>554</w:t>
      </w:r>
      <w:r w:rsidRPr="000D03B4">
        <w:rPr>
          <w:sz w:val="24"/>
        </w:rPr>
        <w:t>号）</w:t>
      </w:r>
      <w:r w:rsidR="00860262" w:rsidRPr="000D03B4">
        <w:rPr>
          <w:sz w:val="24"/>
        </w:rPr>
        <w:t>，</w:t>
      </w:r>
      <w:r w:rsidRPr="000D03B4">
        <w:rPr>
          <w:sz w:val="24"/>
        </w:rPr>
        <w:t>指出</w:t>
      </w:r>
      <w:r w:rsidRPr="000D03B4">
        <w:rPr>
          <w:sz w:val="24"/>
        </w:rPr>
        <w:t>“</w:t>
      </w:r>
      <w:r w:rsidRPr="000D03B4">
        <w:rPr>
          <w:sz w:val="24"/>
        </w:rPr>
        <w:t>钢铁方面：</w:t>
      </w:r>
      <w:r w:rsidRPr="000D03B4">
        <w:rPr>
          <w:sz w:val="24"/>
        </w:rPr>
        <w:t>2018</w:t>
      </w:r>
      <w:r w:rsidRPr="000D03B4">
        <w:rPr>
          <w:sz w:val="24"/>
        </w:rPr>
        <w:t>年退出粗钢产能</w:t>
      </w:r>
      <w:r w:rsidRPr="000D03B4">
        <w:rPr>
          <w:sz w:val="24"/>
        </w:rPr>
        <w:t>3000</w:t>
      </w:r>
      <w:r w:rsidRPr="000D03B4">
        <w:rPr>
          <w:sz w:val="24"/>
        </w:rPr>
        <w:t>万吨左右，基本完成</w:t>
      </w:r>
      <w:r w:rsidRPr="000D03B4">
        <w:rPr>
          <w:sz w:val="24"/>
        </w:rPr>
        <w:t>”</w:t>
      </w:r>
      <w:r w:rsidRPr="000D03B4">
        <w:rPr>
          <w:sz w:val="24"/>
        </w:rPr>
        <w:t>十三五</w:t>
      </w:r>
      <w:proofErr w:type="gramStart"/>
      <w:r w:rsidRPr="000D03B4">
        <w:rPr>
          <w:sz w:val="24"/>
        </w:rPr>
        <w:t>”</w:t>
      </w:r>
      <w:proofErr w:type="gramEnd"/>
      <w:r w:rsidRPr="000D03B4">
        <w:rPr>
          <w:sz w:val="24"/>
        </w:rPr>
        <w:t>期间压减粗钢产能</w:t>
      </w:r>
      <w:r w:rsidRPr="000D03B4">
        <w:rPr>
          <w:sz w:val="24"/>
        </w:rPr>
        <w:t>1.5</w:t>
      </w:r>
      <w:r w:rsidRPr="000D03B4">
        <w:rPr>
          <w:sz w:val="24"/>
        </w:rPr>
        <w:t>亿吨的上限目标任务。煤炭方面：力争化解过剩产能</w:t>
      </w:r>
      <w:r w:rsidRPr="000D03B4">
        <w:rPr>
          <w:sz w:val="24"/>
        </w:rPr>
        <w:t>1.5</w:t>
      </w:r>
      <w:r w:rsidRPr="000D03B4">
        <w:rPr>
          <w:sz w:val="24"/>
        </w:rPr>
        <w:t>亿吨左右，确保</w:t>
      </w:r>
      <w:r w:rsidRPr="000D03B4">
        <w:rPr>
          <w:sz w:val="24"/>
        </w:rPr>
        <w:t>8</w:t>
      </w:r>
      <w:r w:rsidRPr="000D03B4">
        <w:rPr>
          <w:sz w:val="24"/>
        </w:rPr>
        <w:t>亿吨左右煤炭去产能目标实现。煤电方面：淘汰关停不达标的</w:t>
      </w:r>
      <w:r w:rsidRPr="000D03B4">
        <w:rPr>
          <w:sz w:val="24"/>
        </w:rPr>
        <w:t>30</w:t>
      </w:r>
      <w:r w:rsidRPr="000D03B4">
        <w:rPr>
          <w:sz w:val="24"/>
        </w:rPr>
        <w:t>万千瓦以下煤电机组</w:t>
      </w:r>
      <w:proofErr w:type="gramStart"/>
      <w:r w:rsidRPr="000D03B4">
        <w:rPr>
          <w:sz w:val="24"/>
        </w:rPr>
        <w:t>”</w:t>
      </w:r>
      <w:proofErr w:type="gramEnd"/>
      <w:r w:rsidR="000B4B8E" w:rsidRPr="000D03B4">
        <w:rPr>
          <w:sz w:val="24"/>
        </w:rPr>
        <w:t>。</w:t>
      </w:r>
    </w:p>
    <w:p w14:paraId="32F2990C" w14:textId="6F4004E3" w:rsidR="00506AE0" w:rsidRPr="000D03B4" w:rsidRDefault="009F7A3A" w:rsidP="009B4991">
      <w:pPr>
        <w:adjustRightInd w:val="0"/>
        <w:snapToGrid w:val="0"/>
        <w:spacing w:line="276" w:lineRule="auto"/>
        <w:ind w:firstLineChars="200" w:firstLine="480"/>
        <w:rPr>
          <w:sz w:val="24"/>
        </w:rPr>
      </w:pPr>
      <w:bookmarkStart w:id="50" w:name="_Toc4603552"/>
      <w:bookmarkStart w:id="51" w:name="_Toc4784779"/>
      <w:bookmarkStart w:id="52" w:name="_Toc10395359"/>
      <w:r w:rsidRPr="000D03B4">
        <w:rPr>
          <w:sz w:val="24"/>
        </w:rPr>
        <w:t>（</w:t>
      </w:r>
      <w:r w:rsidRPr="000D03B4">
        <w:rPr>
          <w:sz w:val="24"/>
        </w:rPr>
        <w:t>4</w:t>
      </w:r>
      <w:r w:rsidRPr="000D03B4">
        <w:rPr>
          <w:sz w:val="24"/>
        </w:rPr>
        <w:t>）国有企业办教育医疗机构的改革</w:t>
      </w:r>
      <w:bookmarkEnd w:id="50"/>
      <w:bookmarkEnd w:id="51"/>
      <w:bookmarkEnd w:id="52"/>
    </w:p>
    <w:p w14:paraId="1FE627A5" w14:textId="2F654478" w:rsidR="00506AE0" w:rsidRPr="000D03B4" w:rsidRDefault="00122127" w:rsidP="009B4991">
      <w:pPr>
        <w:adjustRightInd w:val="0"/>
        <w:snapToGrid w:val="0"/>
        <w:spacing w:line="276" w:lineRule="auto"/>
        <w:ind w:firstLineChars="200" w:firstLine="480"/>
        <w:rPr>
          <w:sz w:val="24"/>
        </w:rPr>
      </w:pPr>
      <w:r w:rsidRPr="000D03B4">
        <w:rPr>
          <w:sz w:val="24"/>
        </w:rPr>
        <w:t>2017</w:t>
      </w:r>
      <w:r w:rsidRPr="000D03B4">
        <w:rPr>
          <w:sz w:val="24"/>
        </w:rPr>
        <w:t>年国资委、中央编办、教育部、财政部、</w:t>
      </w:r>
      <w:proofErr w:type="gramStart"/>
      <w:r w:rsidRPr="000D03B4">
        <w:rPr>
          <w:sz w:val="24"/>
        </w:rPr>
        <w:t>人社部</w:t>
      </w:r>
      <w:proofErr w:type="gramEnd"/>
      <w:r w:rsidRPr="000D03B4">
        <w:rPr>
          <w:sz w:val="24"/>
        </w:rPr>
        <w:t>和国家卫计委六部委联合制定和</w:t>
      </w:r>
      <w:r w:rsidR="00321050" w:rsidRPr="000D03B4">
        <w:rPr>
          <w:sz w:val="24"/>
        </w:rPr>
        <w:t>发布</w:t>
      </w:r>
      <w:r w:rsidRPr="000D03B4">
        <w:rPr>
          <w:sz w:val="24"/>
        </w:rPr>
        <w:t>《关于国有企业办教育医疗机构深化改革的指导意见》（国</w:t>
      </w:r>
      <w:proofErr w:type="gramStart"/>
      <w:r w:rsidRPr="000D03B4">
        <w:rPr>
          <w:sz w:val="24"/>
        </w:rPr>
        <w:t>资发改革</w:t>
      </w:r>
      <w:proofErr w:type="gramEnd"/>
      <w:r w:rsidRPr="000D03B4">
        <w:rPr>
          <w:sz w:val="24"/>
        </w:rPr>
        <w:t>〔</w:t>
      </w:r>
      <w:r w:rsidRPr="000D03B4">
        <w:rPr>
          <w:sz w:val="24"/>
        </w:rPr>
        <w:t>2017</w:t>
      </w:r>
      <w:r w:rsidRPr="000D03B4">
        <w:rPr>
          <w:sz w:val="24"/>
        </w:rPr>
        <w:t>〕</w:t>
      </w:r>
      <w:r w:rsidRPr="000D03B4">
        <w:rPr>
          <w:sz w:val="24"/>
        </w:rPr>
        <w:t>34</w:t>
      </w:r>
      <w:r w:rsidRPr="000D03B4">
        <w:rPr>
          <w:sz w:val="24"/>
        </w:rPr>
        <w:t>号）</w:t>
      </w:r>
      <w:r w:rsidR="00860262" w:rsidRPr="000D03B4">
        <w:rPr>
          <w:sz w:val="24"/>
        </w:rPr>
        <w:t>，规定</w:t>
      </w:r>
      <w:r w:rsidRPr="000D03B4">
        <w:rPr>
          <w:sz w:val="24"/>
        </w:rPr>
        <w:t>企业办医疗机构进行资源整合，实现专业化运营和集中管理中涉及的资产转让、产权转让等经济行为</w:t>
      </w:r>
      <w:r w:rsidR="00860262" w:rsidRPr="000D03B4">
        <w:rPr>
          <w:sz w:val="24"/>
        </w:rPr>
        <w:t>应当</w:t>
      </w:r>
      <w:r w:rsidRPr="000D03B4">
        <w:rPr>
          <w:sz w:val="24"/>
        </w:rPr>
        <w:t>进行评估。</w:t>
      </w:r>
    </w:p>
    <w:p w14:paraId="5B8BA6F4" w14:textId="060874C6" w:rsidR="00506AE0" w:rsidRPr="000D03B4" w:rsidRDefault="009F7A3A" w:rsidP="009B4991">
      <w:pPr>
        <w:adjustRightInd w:val="0"/>
        <w:snapToGrid w:val="0"/>
        <w:spacing w:line="276" w:lineRule="auto"/>
        <w:ind w:firstLineChars="200" w:firstLine="480"/>
        <w:rPr>
          <w:sz w:val="24"/>
        </w:rPr>
      </w:pPr>
      <w:bookmarkStart w:id="53" w:name="_Toc4784780"/>
      <w:bookmarkStart w:id="54" w:name="_Toc4603553"/>
      <w:bookmarkStart w:id="55" w:name="_Toc10395360"/>
      <w:r w:rsidRPr="000D03B4">
        <w:rPr>
          <w:sz w:val="24"/>
        </w:rPr>
        <w:t>（</w:t>
      </w:r>
      <w:r w:rsidRPr="000D03B4">
        <w:rPr>
          <w:sz w:val="24"/>
        </w:rPr>
        <w:t>5</w:t>
      </w:r>
      <w:r w:rsidRPr="000D03B4">
        <w:rPr>
          <w:sz w:val="24"/>
        </w:rPr>
        <w:t>）国有企业职工家属区</w:t>
      </w:r>
      <w:r w:rsidRPr="000D03B4">
        <w:rPr>
          <w:sz w:val="24"/>
        </w:rPr>
        <w:t>“</w:t>
      </w:r>
      <w:r w:rsidRPr="000D03B4">
        <w:rPr>
          <w:sz w:val="24"/>
        </w:rPr>
        <w:t>三供</w:t>
      </w:r>
      <w:proofErr w:type="gramStart"/>
      <w:r w:rsidRPr="000D03B4">
        <w:rPr>
          <w:sz w:val="24"/>
        </w:rPr>
        <w:t>一</w:t>
      </w:r>
      <w:proofErr w:type="gramEnd"/>
      <w:r w:rsidRPr="000D03B4">
        <w:rPr>
          <w:sz w:val="24"/>
        </w:rPr>
        <w:t>业</w:t>
      </w:r>
      <w:r w:rsidRPr="000D03B4">
        <w:rPr>
          <w:sz w:val="24"/>
        </w:rPr>
        <w:t>”</w:t>
      </w:r>
      <w:r w:rsidRPr="000D03B4">
        <w:rPr>
          <w:sz w:val="24"/>
        </w:rPr>
        <w:t>分离移交</w:t>
      </w:r>
      <w:bookmarkEnd w:id="53"/>
      <w:bookmarkEnd w:id="54"/>
      <w:bookmarkEnd w:id="55"/>
    </w:p>
    <w:p w14:paraId="1790B975" w14:textId="692BED61" w:rsidR="00506AE0" w:rsidRPr="000D03B4" w:rsidRDefault="0075790F" w:rsidP="0075790F">
      <w:pPr>
        <w:adjustRightInd w:val="0"/>
        <w:snapToGrid w:val="0"/>
        <w:spacing w:line="276" w:lineRule="auto"/>
        <w:ind w:firstLineChars="200" w:firstLine="480"/>
        <w:rPr>
          <w:sz w:val="24"/>
        </w:rPr>
      </w:pPr>
      <w:r w:rsidRPr="000D03B4">
        <w:rPr>
          <w:sz w:val="24"/>
        </w:rPr>
        <w:t>根据国务院国资委、财政部《关于国有企业职工家属区</w:t>
      </w:r>
      <w:r w:rsidRPr="000D03B4">
        <w:rPr>
          <w:sz w:val="24"/>
        </w:rPr>
        <w:t>“</w:t>
      </w:r>
      <w:r w:rsidRPr="000D03B4">
        <w:rPr>
          <w:sz w:val="24"/>
        </w:rPr>
        <w:t>三供一业</w:t>
      </w:r>
      <w:r w:rsidRPr="000D03B4">
        <w:rPr>
          <w:sz w:val="24"/>
        </w:rPr>
        <w:t>”</w:t>
      </w:r>
      <w:r w:rsidRPr="000D03B4">
        <w:rPr>
          <w:sz w:val="24"/>
        </w:rPr>
        <w:t>分离移交工作的指导意见》（国办发〔</w:t>
      </w:r>
      <w:r w:rsidRPr="000D03B4">
        <w:rPr>
          <w:sz w:val="24"/>
        </w:rPr>
        <w:t>2016</w:t>
      </w:r>
      <w:r w:rsidRPr="000D03B4">
        <w:rPr>
          <w:sz w:val="24"/>
        </w:rPr>
        <w:t>〕</w:t>
      </w:r>
      <w:r w:rsidRPr="000D03B4">
        <w:rPr>
          <w:sz w:val="24"/>
        </w:rPr>
        <w:t>45</w:t>
      </w:r>
      <w:r w:rsidRPr="000D03B4">
        <w:rPr>
          <w:sz w:val="24"/>
        </w:rPr>
        <w:t>号），</w:t>
      </w:r>
      <w:r w:rsidR="00122127" w:rsidRPr="000D03B4">
        <w:rPr>
          <w:sz w:val="24"/>
        </w:rPr>
        <w:t>全面推进国有企业（含中央企业和地方国有企业）职工家属区</w:t>
      </w:r>
      <w:r w:rsidR="00122127" w:rsidRPr="000D03B4">
        <w:rPr>
          <w:sz w:val="24"/>
        </w:rPr>
        <w:t>“</w:t>
      </w:r>
      <w:r w:rsidR="00122127" w:rsidRPr="000D03B4">
        <w:rPr>
          <w:sz w:val="24"/>
        </w:rPr>
        <w:t>三供</w:t>
      </w:r>
      <w:proofErr w:type="gramStart"/>
      <w:r w:rsidR="00122127" w:rsidRPr="000D03B4">
        <w:rPr>
          <w:sz w:val="24"/>
        </w:rPr>
        <w:t>一</w:t>
      </w:r>
      <w:proofErr w:type="gramEnd"/>
      <w:r w:rsidR="00122127" w:rsidRPr="000D03B4">
        <w:rPr>
          <w:sz w:val="24"/>
        </w:rPr>
        <w:t>业</w:t>
      </w:r>
      <w:r w:rsidR="00122127" w:rsidRPr="000D03B4">
        <w:rPr>
          <w:sz w:val="24"/>
        </w:rPr>
        <w:t>”</w:t>
      </w:r>
      <w:r w:rsidR="00122127" w:rsidRPr="000D03B4">
        <w:rPr>
          <w:sz w:val="24"/>
        </w:rPr>
        <w:t>分离移交工作，移交企业要做好移交资产清查、财务清理、审计评估、产权变更及登记等工作。</w:t>
      </w:r>
    </w:p>
    <w:p w14:paraId="262776AD" w14:textId="01904C2D" w:rsidR="00506AE0" w:rsidRPr="000D03B4" w:rsidRDefault="009F7A3A" w:rsidP="009B4991">
      <w:pPr>
        <w:adjustRightInd w:val="0"/>
        <w:snapToGrid w:val="0"/>
        <w:spacing w:line="276" w:lineRule="auto"/>
        <w:ind w:firstLineChars="200" w:firstLine="480"/>
        <w:rPr>
          <w:sz w:val="24"/>
        </w:rPr>
      </w:pPr>
      <w:bookmarkStart w:id="56" w:name="_Toc4784781"/>
      <w:bookmarkStart w:id="57" w:name="_Toc4603554"/>
      <w:bookmarkStart w:id="58" w:name="_Toc10395361"/>
      <w:r w:rsidRPr="000D03B4">
        <w:rPr>
          <w:sz w:val="24"/>
        </w:rPr>
        <w:t>2.</w:t>
      </w:r>
      <w:r w:rsidR="00122127" w:rsidRPr="000D03B4">
        <w:rPr>
          <w:sz w:val="24"/>
        </w:rPr>
        <w:t>文件依据</w:t>
      </w:r>
      <w:bookmarkEnd w:id="56"/>
      <w:bookmarkEnd w:id="57"/>
      <w:bookmarkEnd w:id="58"/>
    </w:p>
    <w:p w14:paraId="5B3E5A9B" w14:textId="040C685B" w:rsidR="00AE5A68" w:rsidRPr="000D03B4" w:rsidRDefault="000C3DBB" w:rsidP="008C6143">
      <w:pPr>
        <w:adjustRightInd w:val="0"/>
        <w:snapToGrid w:val="0"/>
        <w:spacing w:line="276" w:lineRule="auto"/>
        <w:ind w:firstLineChars="200" w:firstLine="480"/>
        <w:jc w:val="left"/>
        <w:rPr>
          <w:sz w:val="24"/>
        </w:rPr>
      </w:pPr>
      <w:r w:rsidRPr="000D03B4">
        <w:rPr>
          <w:sz w:val="24"/>
        </w:rPr>
        <w:t>（</w:t>
      </w:r>
      <w:r w:rsidRPr="000D03B4">
        <w:rPr>
          <w:sz w:val="24"/>
        </w:rPr>
        <w:t>1</w:t>
      </w:r>
      <w:r w:rsidRPr="000D03B4">
        <w:rPr>
          <w:sz w:val="24"/>
        </w:rPr>
        <w:t>）</w:t>
      </w:r>
      <w:r w:rsidR="00AE5A68" w:rsidRPr="000D03B4">
        <w:rPr>
          <w:sz w:val="24"/>
        </w:rPr>
        <w:t>《中央企业境外国有产权管理暂行办法》（国资委令第</w:t>
      </w:r>
      <w:r w:rsidR="00AE5A68" w:rsidRPr="000D03B4">
        <w:rPr>
          <w:sz w:val="24"/>
        </w:rPr>
        <w:t>27</w:t>
      </w:r>
      <w:r w:rsidR="00AE5A68" w:rsidRPr="000D03B4">
        <w:rPr>
          <w:sz w:val="24"/>
        </w:rPr>
        <w:t>号）；</w:t>
      </w:r>
    </w:p>
    <w:p w14:paraId="53009507" w14:textId="0A44A461" w:rsidR="00506AE0" w:rsidRPr="000D03B4" w:rsidRDefault="000C3DBB" w:rsidP="008C6143">
      <w:pPr>
        <w:adjustRightInd w:val="0"/>
        <w:snapToGrid w:val="0"/>
        <w:spacing w:line="276" w:lineRule="auto"/>
        <w:ind w:firstLineChars="200" w:firstLine="480"/>
        <w:jc w:val="left"/>
        <w:rPr>
          <w:sz w:val="24"/>
        </w:rPr>
      </w:pPr>
      <w:r w:rsidRPr="000D03B4">
        <w:rPr>
          <w:sz w:val="24"/>
        </w:rPr>
        <w:t>（</w:t>
      </w:r>
      <w:r w:rsidRPr="000D03B4">
        <w:rPr>
          <w:sz w:val="24"/>
        </w:rPr>
        <w:t>2</w:t>
      </w:r>
      <w:r w:rsidRPr="000D03B4">
        <w:rPr>
          <w:sz w:val="24"/>
        </w:rPr>
        <w:t>）</w:t>
      </w:r>
      <w:r w:rsidR="00122127" w:rsidRPr="000D03B4">
        <w:rPr>
          <w:sz w:val="24"/>
        </w:rPr>
        <w:t>《中央企业投资监督管理办法》（</w:t>
      </w:r>
      <w:r w:rsidR="00C8154F" w:rsidRPr="000D03B4">
        <w:rPr>
          <w:sz w:val="24"/>
        </w:rPr>
        <w:t>国资委</w:t>
      </w:r>
      <w:r w:rsidR="00122127" w:rsidRPr="000D03B4">
        <w:rPr>
          <w:sz w:val="24"/>
        </w:rPr>
        <w:t>令第</w:t>
      </w:r>
      <w:r w:rsidR="00122127" w:rsidRPr="000D03B4">
        <w:rPr>
          <w:sz w:val="24"/>
        </w:rPr>
        <w:t>34</w:t>
      </w:r>
      <w:r w:rsidR="00122127" w:rsidRPr="000D03B4">
        <w:rPr>
          <w:sz w:val="24"/>
        </w:rPr>
        <w:t>号）；</w:t>
      </w:r>
    </w:p>
    <w:p w14:paraId="586200A3" w14:textId="18246BB3" w:rsidR="00506AE0" w:rsidRPr="000D03B4" w:rsidRDefault="000C3DBB" w:rsidP="008C6143">
      <w:pPr>
        <w:adjustRightInd w:val="0"/>
        <w:snapToGrid w:val="0"/>
        <w:spacing w:line="276" w:lineRule="auto"/>
        <w:ind w:firstLineChars="200" w:firstLine="480"/>
        <w:jc w:val="left"/>
        <w:rPr>
          <w:sz w:val="24"/>
        </w:rPr>
      </w:pPr>
      <w:r w:rsidRPr="000D03B4">
        <w:rPr>
          <w:sz w:val="24"/>
        </w:rPr>
        <w:t>（</w:t>
      </w:r>
      <w:r w:rsidRPr="000D03B4">
        <w:rPr>
          <w:sz w:val="24"/>
        </w:rPr>
        <w:t>3</w:t>
      </w:r>
      <w:r w:rsidRPr="000D03B4">
        <w:rPr>
          <w:sz w:val="24"/>
        </w:rPr>
        <w:t>）</w:t>
      </w:r>
      <w:r w:rsidR="00122127" w:rsidRPr="000D03B4">
        <w:rPr>
          <w:sz w:val="24"/>
        </w:rPr>
        <w:t>《中央企业境外投资监督管理办法》（</w:t>
      </w:r>
      <w:r w:rsidR="00C8154F" w:rsidRPr="000D03B4">
        <w:rPr>
          <w:sz w:val="24"/>
        </w:rPr>
        <w:t>国资委</w:t>
      </w:r>
      <w:r w:rsidR="00122127" w:rsidRPr="000D03B4">
        <w:rPr>
          <w:sz w:val="24"/>
        </w:rPr>
        <w:t>令第</w:t>
      </w:r>
      <w:r w:rsidR="00122127" w:rsidRPr="000D03B4">
        <w:rPr>
          <w:sz w:val="24"/>
        </w:rPr>
        <w:t>35</w:t>
      </w:r>
      <w:r w:rsidR="00122127" w:rsidRPr="000D03B4">
        <w:rPr>
          <w:sz w:val="24"/>
        </w:rPr>
        <w:t>号）；</w:t>
      </w:r>
    </w:p>
    <w:p w14:paraId="42BF57EA" w14:textId="0E4962A6" w:rsidR="00506AE0" w:rsidRPr="000D03B4" w:rsidRDefault="000C3DBB" w:rsidP="008C6143">
      <w:pPr>
        <w:adjustRightInd w:val="0"/>
        <w:snapToGrid w:val="0"/>
        <w:spacing w:line="276" w:lineRule="auto"/>
        <w:ind w:firstLineChars="200" w:firstLine="480"/>
        <w:jc w:val="left"/>
        <w:rPr>
          <w:sz w:val="24"/>
        </w:rPr>
      </w:pPr>
      <w:r w:rsidRPr="000D03B4">
        <w:rPr>
          <w:sz w:val="24"/>
        </w:rPr>
        <w:t>（</w:t>
      </w:r>
      <w:r w:rsidRPr="000D03B4">
        <w:rPr>
          <w:sz w:val="24"/>
        </w:rPr>
        <w:t>4</w:t>
      </w:r>
      <w:r w:rsidRPr="000D03B4">
        <w:rPr>
          <w:sz w:val="24"/>
        </w:rPr>
        <w:t>）</w:t>
      </w:r>
      <w:r w:rsidR="00122127" w:rsidRPr="000D03B4">
        <w:rPr>
          <w:sz w:val="24"/>
        </w:rPr>
        <w:t>《关于国有企业发展混合所有制经济的意见》（国发〔</w:t>
      </w:r>
      <w:r w:rsidR="00122127" w:rsidRPr="000D03B4">
        <w:rPr>
          <w:sz w:val="24"/>
        </w:rPr>
        <w:t>2015</w:t>
      </w:r>
      <w:r w:rsidR="00122127" w:rsidRPr="000D03B4">
        <w:rPr>
          <w:sz w:val="24"/>
        </w:rPr>
        <w:t>〕</w:t>
      </w:r>
      <w:r w:rsidR="00122127" w:rsidRPr="000D03B4">
        <w:rPr>
          <w:sz w:val="24"/>
        </w:rPr>
        <w:t>54</w:t>
      </w:r>
      <w:r w:rsidR="00122127" w:rsidRPr="000D03B4">
        <w:rPr>
          <w:sz w:val="24"/>
        </w:rPr>
        <w:t>号）；</w:t>
      </w:r>
    </w:p>
    <w:p w14:paraId="419C78A9" w14:textId="3FAABE84" w:rsidR="00506AE0" w:rsidRPr="000D03B4" w:rsidRDefault="000C3DBB" w:rsidP="008C6143">
      <w:pPr>
        <w:adjustRightInd w:val="0"/>
        <w:snapToGrid w:val="0"/>
        <w:spacing w:line="276" w:lineRule="auto"/>
        <w:ind w:firstLineChars="200" w:firstLine="480"/>
        <w:jc w:val="left"/>
        <w:rPr>
          <w:sz w:val="24"/>
        </w:rPr>
      </w:pPr>
      <w:r w:rsidRPr="000D03B4">
        <w:rPr>
          <w:sz w:val="24"/>
        </w:rPr>
        <w:t>（</w:t>
      </w:r>
      <w:r w:rsidRPr="000D03B4">
        <w:rPr>
          <w:sz w:val="24"/>
        </w:rPr>
        <w:t>5</w:t>
      </w:r>
      <w:r w:rsidRPr="000D03B4">
        <w:rPr>
          <w:sz w:val="24"/>
        </w:rPr>
        <w:t>）</w:t>
      </w:r>
      <w:r w:rsidR="00122127" w:rsidRPr="000D03B4">
        <w:rPr>
          <w:sz w:val="24"/>
        </w:rPr>
        <w:t>《关于国有控股混合所有制企业开展员工持股试点的意见》（国</w:t>
      </w:r>
      <w:proofErr w:type="gramStart"/>
      <w:r w:rsidR="00122127" w:rsidRPr="000D03B4">
        <w:rPr>
          <w:sz w:val="24"/>
        </w:rPr>
        <w:t>资发改革</w:t>
      </w:r>
      <w:proofErr w:type="gramEnd"/>
      <w:r w:rsidR="00122127" w:rsidRPr="000D03B4">
        <w:rPr>
          <w:sz w:val="24"/>
        </w:rPr>
        <w:t>〔</w:t>
      </w:r>
      <w:r w:rsidR="00122127" w:rsidRPr="000D03B4">
        <w:rPr>
          <w:sz w:val="24"/>
        </w:rPr>
        <w:t>2016</w:t>
      </w:r>
      <w:r w:rsidR="00122127" w:rsidRPr="000D03B4">
        <w:rPr>
          <w:sz w:val="24"/>
        </w:rPr>
        <w:t>〕</w:t>
      </w:r>
      <w:r w:rsidR="00122127" w:rsidRPr="000D03B4">
        <w:rPr>
          <w:sz w:val="24"/>
        </w:rPr>
        <w:t>133</w:t>
      </w:r>
      <w:r w:rsidR="00122127" w:rsidRPr="000D03B4">
        <w:rPr>
          <w:sz w:val="24"/>
        </w:rPr>
        <w:t>号）；</w:t>
      </w:r>
    </w:p>
    <w:p w14:paraId="2ACDBE44" w14:textId="76869F6E" w:rsidR="00506AE0" w:rsidRPr="000D03B4" w:rsidRDefault="000C3DBB" w:rsidP="008C6143">
      <w:pPr>
        <w:adjustRightInd w:val="0"/>
        <w:snapToGrid w:val="0"/>
        <w:spacing w:line="276" w:lineRule="auto"/>
        <w:ind w:firstLineChars="200" w:firstLine="480"/>
        <w:jc w:val="left"/>
        <w:rPr>
          <w:sz w:val="24"/>
        </w:rPr>
      </w:pPr>
      <w:r w:rsidRPr="000D03B4">
        <w:rPr>
          <w:sz w:val="24"/>
        </w:rPr>
        <w:t>（</w:t>
      </w:r>
      <w:r w:rsidRPr="000D03B4">
        <w:rPr>
          <w:sz w:val="24"/>
        </w:rPr>
        <w:t>6</w:t>
      </w:r>
      <w:r w:rsidRPr="000D03B4">
        <w:rPr>
          <w:sz w:val="24"/>
        </w:rPr>
        <w:t>）</w:t>
      </w:r>
      <w:r w:rsidR="00122127" w:rsidRPr="000D03B4">
        <w:rPr>
          <w:sz w:val="24"/>
        </w:rPr>
        <w:t>《国有科技型企业股权和分红激励暂行办法》（财资〔</w:t>
      </w:r>
      <w:r w:rsidR="00122127" w:rsidRPr="000D03B4">
        <w:rPr>
          <w:sz w:val="24"/>
        </w:rPr>
        <w:t>2016</w:t>
      </w:r>
      <w:r w:rsidR="00122127" w:rsidRPr="000D03B4">
        <w:rPr>
          <w:sz w:val="24"/>
        </w:rPr>
        <w:t>〕</w:t>
      </w:r>
      <w:r w:rsidR="00122127" w:rsidRPr="000D03B4">
        <w:rPr>
          <w:sz w:val="24"/>
        </w:rPr>
        <w:t>4</w:t>
      </w:r>
      <w:r w:rsidR="00122127" w:rsidRPr="000D03B4">
        <w:rPr>
          <w:sz w:val="24"/>
        </w:rPr>
        <w:t>号）；</w:t>
      </w:r>
    </w:p>
    <w:p w14:paraId="32090C7F" w14:textId="2EB4CD94" w:rsidR="00506AE0" w:rsidRPr="000D03B4" w:rsidRDefault="000C3DBB" w:rsidP="008C6143">
      <w:pPr>
        <w:adjustRightInd w:val="0"/>
        <w:snapToGrid w:val="0"/>
        <w:spacing w:line="276" w:lineRule="auto"/>
        <w:ind w:firstLineChars="200" w:firstLine="480"/>
        <w:jc w:val="left"/>
        <w:rPr>
          <w:sz w:val="24"/>
        </w:rPr>
      </w:pPr>
      <w:r w:rsidRPr="000D03B4">
        <w:rPr>
          <w:sz w:val="24"/>
        </w:rPr>
        <w:t>（</w:t>
      </w:r>
      <w:r w:rsidRPr="000D03B4">
        <w:rPr>
          <w:sz w:val="24"/>
        </w:rPr>
        <w:t>7</w:t>
      </w:r>
      <w:r w:rsidRPr="000D03B4">
        <w:rPr>
          <w:sz w:val="24"/>
        </w:rPr>
        <w:t>）</w:t>
      </w:r>
      <w:r w:rsidR="00122127" w:rsidRPr="000D03B4">
        <w:rPr>
          <w:sz w:val="24"/>
        </w:rPr>
        <w:t>《关于做好中央科技型企业股权和分红激励工作的通知》（国</w:t>
      </w:r>
      <w:proofErr w:type="gramStart"/>
      <w:r w:rsidR="00122127" w:rsidRPr="000D03B4">
        <w:rPr>
          <w:sz w:val="24"/>
        </w:rPr>
        <w:t>资发分配</w:t>
      </w:r>
      <w:proofErr w:type="gramEnd"/>
      <w:r w:rsidR="00122127" w:rsidRPr="000D03B4">
        <w:rPr>
          <w:sz w:val="24"/>
        </w:rPr>
        <w:t>〔</w:t>
      </w:r>
      <w:r w:rsidR="00122127" w:rsidRPr="000D03B4">
        <w:rPr>
          <w:sz w:val="24"/>
        </w:rPr>
        <w:t>2016</w:t>
      </w:r>
      <w:r w:rsidR="00122127" w:rsidRPr="000D03B4">
        <w:rPr>
          <w:sz w:val="24"/>
        </w:rPr>
        <w:t>〕</w:t>
      </w:r>
      <w:r w:rsidR="00122127" w:rsidRPr="000D03B4">
        <w:rPr>
          <w:sz w:val="24"/>
        </w:rPr>
        <w:t>274</w:t>
      </w:r>
      <w:r w:rsidR="00122127" w:rsidRPr="000D03B4">
        <w:rPr>
          <w:sz w:val="24"/>
        </w:rPr>
        <w:t>号）；</w:t>
      </w:r>
    </w:p>
    <w:p w14:paraId="20313D27" w14:textId="3C56C72A" w:rsidR="00506AE0" w:rsidRPr="000D03B4" w:rsidRDefault="000C3DBB" w:rsidP="008C6143">
      <w:pPr>
        <w:adjustRightInd w:val="0"/>
        <w:snapToGrid w:val="0"/>
        <w:spacing w:line="276" w:lineRule="auto"/>
        <w:ind w:firstLineChars="200" w:firstLine="480"/>
        <w:jc w:val="left"/>
        <w:rPr>
          <w:sz w:val="24"/>
        </w:rPr>
      </w:pPr>
      <w:r w:rsidRPr="000D03B4">
        <w:rPr>
          <w:sz w:val="24"/>
        </w:rPr>
        <w:t>（</w:t>
      </w:r>
      <w:r w:rsidRPr="000D03B4">
        <w:rPr>
          <w:sz w:val="24"/>
        </w:rPr>
        <w:t>8</w:t>
      </w:r>
      <w:r w:rsidRPr="000D03B4">
        <w:rPr>
          <w:sz w:val="24"/>
        </w:rPr>
        <w:t>）</w:t>
      </w:r>
      <w:r w:rsidR="00122127" w:rsidRPr="000D03B4">
        <w:rPr>
          <w:sz w:val="24"/>
        </w:rPr>
        <w:t>《关于化解产能严重过剩矛盾的指导意见》（国发〔</w:t>
      </w:r>
      <w:r w:rsidR="00122127" w:rsidRPr="000D03B4">
        <w:rPr>
          <w:sz w:val="24"/>
        </w:rPr>
        <w:t>2013</w:t>
      </w:r>
      <w:r w:rsidR="00122127" w:rsidRPr="000D03B4">
        <w:rPr>
          <w:sz w:val="24"/>
        </w:rPr>
        <w:t>〕</w:t>
      </w:r>
      <w:r w:rsidR="00122127" w:rsidRPr="000D03B4">
        <w:rPr>
          <w:sz w:val="24"/>
        </w:rPr>
        <w:t>41</w:t>
      </w:r>
      <w:r w:rsidR="00122127" w:rsidRPr="000D03B4">
        <w:rPr>
          <w:sz w:val="24"/>
        </w:rPr>
        <w:t>号）；</w:t>
      </w:r>
    </w:p>
    <w:p w14:paraId="1C03D2EB" w14:textId="57406B76" w:rsidR="00506AE0" w:rsidRPr="000D03B4" w:rsidRDefault="000C3DBB" w:rsidP="008C6143">
      <w:pPr>
        <w:adjustRightInd w:val="0"/>
        <w:snapToGrid w:val="0"/>
        <w:spacing w:line="276" w:lineRule="auto"/>
        <w:ind w:firstLineChars="200" w:firstLine="480"/>
        <w:jc w:val="left"/>
        <w:rPr>
          <w:sz w:val="24"/>
        </w:rPr>
      </w:pPr>
      <w:r w:rsidRPr="000D03B4">
        <w:rPr>
          <w:sz w:val="24"/>
        </w:rPr>
        <w:t>（</w:t>
      </w:r>
      <w:r w:rsidRPr="000D03B4">
        <w:rPr>
          <w:sz w:val="24"/>
        </w:rPr>
        <w:t>9</w:t>
      </w:r>
      <w:r w:rsidRPr="000D03B4">
        <w:rPr>
          <w:sz w:val="24"/>
        </w:rPr>
        <w:t>）</w:t>
      </w:r>
      <w:r w:rsidR="00122127" w:rsidRPr="000D03B4">
        <w:rPr>
          <w:sz w:val="24"/>
        </w:rPr>
        <w:t>《关于做好</w:t>
      </w:r>
      <w:r w:rsidR="00122127" w:rsidRPr="000D03B4">
        <w:rPr>
          <w:sz w:val="24"/>
        </w:rPr>
        <w:t>2018</w:t>
      </w:r>
      <w:r w:rsidR="00122127" w:rsidRPr="000D03B4">
        <w:rPr>
          <w:sz w:val="24"/>
        </w:rPr>
        <w:t>年重点领域化解过剩产能工作的通知》（</w:t>
      </w:r>
      <w:proofErr w:type="gramStart"/>
      <w:r w:rsidR="00122127" w:rsidRPr="000D03B4">
        <w:rPr>
          <w:sz w:val="24"/>
        </w:rPr>
        <w:t>发改运行</w:t>
      </w:r>
      <w:proofErr w:type="gramEnd"/>
      <w:r w:rsidR="00122127" w:rsidRPr="000D03B4">
        <w:rPr>
          <w:sz w:val="24"/>
        </w:rPr>
        <w:t>〔</w:t>
      </w:r>
      <w:r w:rsidR="00122127" w:rsidRPr="000D03B4">
        <w:rPr>
          <w:sz w:val="24"/>
        </w:rPr>
        <w:t>2018</w:t>
      </w:r>
      <w:r w:rsidR="00122127" w:rsidRPr="000D03B4">
        <w:rPr>
          <w:sz w:val="24"/>
        </w:rPr>
        <w:t>〕</w:t>
      </w:r>
      <w:r w:rsidR="00122127" w:rsidRPr="000D03B4">
        <w:rPr>
          <w:sz w:val="24"/>
        </w:rPr>
        <w:t>554</w:t>
      </w:r>
      <w:r w:rsidR="00122127" w:rsidRPr="000D03B4">
        <w:rPr>
          <w:sz w:val="24"/>
        </w:rPr>
        <w:t>号）；</w:t>
      </w:r>
    </w:p>
    <w:p w14:paraId="59BF3B5D" w14:textId="4108F916" w:rsidR="00506AE0" w:rsidRPr="000D03B4" w:rsidRDefault="000C3DBB" w:rsidP="008C6143">
      <w:pPr>
        <w:adjustRightInd w:val="0"/>
        <w:snapToGrid w:val="0"/>
        <w:spacing w:line="276" w:lineRule="auto"/>
        <w:ind w:firstLineChars="200" w:firstLine="480"/>
        <w:jc w:val="left"/>
        <w:rPr>
          <w:sz w:val="24"/>
        </w:rPr>
      </w:pPr>
      <w:r w:rsidRPr="000D03B4">
        <w:rPr>
          <w:sz w:val="24"/>
        </w:rPr>
        <w:t>（</w:t>
      </w:r>
      <w:r w:rsidRPr="000D03B4">
        <w:rPr>
          <w:sz w:val="24"/>
        </w:rPr>
        <w:t>10</w:t>
      </w:r>
      <w:r w:rsidRPr="000D03B4">
        <w:rPr>
          <w:sz w:val="24"/>
        </w:rPr>
        <w:t>）</w:t>
      </w:r>
      <w:r w:rsidR="00122127" w:rsidRPr="000D03B4">
        <w:rPr>
          <w:sz w:val="24"/>
        </w:rPr>
        <w:t>《关于国有企业办教育医疗机构深化改革的指导意见》（国</w:t>
      </w:r>
      <w:proofErr w:type="gramStart"/>
      <w:r w:rsidR="00122127" w:rsidRPr="000D03B4">
        <w:rPr>
          <w:sz w:val="24"/>
        </w:rPr>
        <w:t>资发改革</w:t>
      </w:r>
      <w:proofErr w:type="gramEnd"/>
      <w:r w:rsidR="00122127" w:rsidRPr="000D03B4">
        <w:rPr>
          <w:sz w:val="24"/>
        </w:rPr>
        <w:t>〔</w:t>
      </w:r>
      <w:r w:rsidR="00122127" w:rsidRPr="000D03B4">
        <w:rPr>
          <w:sz w:val="24"/>
        </w:rPr>
        <w:t>2017</w:t>
      </w:r>
      <w:r w:rsidR="00122127" w:rsidRPr="000D03B4">
        <w:rPr>
          <w:sz w:val="24"/>
        </w:rPr>
        <w:t>〕</w:t>
      </w:r>
      <w:r w:rsidR="00122127" w:rsidRPr="000D03B4">
        <w:rPr>
          <w:sz w:val="24"/>
        </w:rPr>
        <w:t>34</w:t>
      </w:r>
      <w:r w:rsidR="00122127" w:rsidRPr="000D03B4">
        <w:rPr>
          <w:sz w:val="24"/>
        </w:rPr>
        <w:t>号）；</w:t>
      </w:r>
    </w:p>
    <w:p w14:paraId="18554F41" w14:textId="4F19D14D" w:rsidR="00506AE0" w:rsidRPr="000D03B4" w:rsidRDefault="000C3DBB" w:rsidP="008C6143">
      <w:pPr>
        <w:adjustRightInd w:val="0"/>
        <w:snapToGrid w:val="0"/>
        <w:spacing w:line="276" w:lineRule="auto"/>
        <w:ind w:firstLineChars="200" w:firstLine="480"/>
        <w:jc w:val="left"/>
        <w:rPr>
          <w:sz w:val="24"/>
        </w:rPr>
      </w:pPr>
      <w:r w:rsidRPr="000D03B4">
        <w:rPr>
          <w:sz w:val="24"/>
        </w:rPr>
        <w:t>（</w:t>
      </w:r>
      <w:r w:rsidRPr="000D03B4">
        <w:rPr>
          <w:sz w:val="24"/>
        </w:rPr>
        <w:t>11</w:t>
      </w:r>
      <w:r w:rsidRPr="000D03B4">
        <w:rPr>
          <w:sz w:val="24"/>
        </w:rPr>
        <w:t>）</w:t>
      </w:r>
      <w:r w:rsidR="00122127" w:rsidRPr="000D03B4">
        <w:rPr>
          <w:sz w:val="24"/>
        </w:rPr>
        <w:t>《关于国有企业职工家属区</w:t>
      </w:r>
      <w:r w:rsidR="00122127" w:rsidRPr="000D03B4">
        <w:rPr>
          <w:sz w:val="24"/>
        </w:rPr>
        <w:t>“</w:t>
      </w:r>
      <w:r w:rsidR="00122127" w:rsidRPr="000D03B4">
        <w:rPr>
          <w:sz w:val="24"/>
        </w:rPr>
        <w:t>三供一业</w:t>
      </w:r>
      <w:r w:rsidR="00122127" w:rsidRPr="000D03B4">
        <w:rPr>
          <w:sz w:val="24"/>
        </w:rPr>
        <w:t>”</w:t>
      </w:r>
      <w:r w:rsidR="00122127" w:rsidRPr="000D03B4">
        <w:rPr>
          <w:sz w:val="24"/>
        </w:rPr>
        <w:t>分离移交工作的指导意见》（国办发〔</w:t>
      </w:r>
      <w:r w:rsidR="00122127" w:rsidRPr="000D03B4">
        <w:rPr>
          <w:sz w:val="24"/>
        </w:rPr>
        <w:t>2016</w:t>
      </w:r>
      <w:r w:rsidR="00122127" w:rsidRPr="000D03B4">
        <w:rPr>
          <w:sz w:val="24"/>
        </w:rPr>
        <w:t>〕</w:t>
      </w:r>
      <w:r w:rsidR="00122127" w:rsidRPr="000D03B4">
        <w:rPr>
          <w:sz w:val="24"/>
        </w:rPr>
        <w:t>45</w:t>
      </w:r>
      <w:r w:rsidR="00122127" w:rsidRPr="000D03B4">
        <w:rPr>
          <w:sz w:val="24"/>
        </w:rPr>
        <w:t>号）</w:t>
      </w:r>
      <w:r w:rsidR="00F31C48">
        <w:rPr>
          <w:rFonts w:hint="eastAsia"/>
          <w:sz w:val="24"/>
        </w:rPr>
        <w:t>等</w:t>
      </w:r>
      <w:r w:rsidR="00122127" w:rsidRPr="000D03B4">
        <w:rPr>
          <w:sz w:val="24"/>
        </w:rPr>
        <w:t>。</w:t>
      </w:r>
    </w:p>
    <w:p w14:paraId="1BCE3CBE" w14:textId="7E905AAF" w:rsidR="00506AE0" w:rsidRPr="000D03B4" w:rsidRDefault="009F7A3A" w:rsidP="00C17103">
      <w:pPr>
        <w:adjustRightInd w:val="0"/>
        <w:snapToGrid w:val="0"/>
        <w:spacing w:line="276" w:lineRule="auto"/>
        <w:ind w:firstLineChars="200" w:firstLine="482"/>
        <w:rPr>
          <w:b/>
          <w:sz w:val="24"/>
        </w:rPr>
      </w:pPr>
      <w:bookmarkStart w:id="59" w:name="_Toc2778974"/>
      <w:bookmarkStart w:id="60" w:name="_Toc4784782"/>
      <w:bookmarkStart w:id="61" w:name="_Toc4603555"/>
      <w:bookmarkStart w:id="62" w:name="_Toc3385894"/>
      <w:bookmarkStart w:id="63" w:name="_Toc535836442"/>
      <w:bookmarkStart w:id="64" w:name="_Toc10395362"/>
      <w:r w:rsidRPr="000D03B4">
        <w:rPr>
          <w:b/>
          <w:sz w:val="24"/>
        </w:rPr>
        <w:t>（三）</w:t>
      </w:r>
      <w:r w:rsidR="00355589" w:rsidRPr="000D03B4">
        <w:rPr>
          <w:b/>
          <w:sz w:val="24"/>
        </w:rPr>
        <w:t>国有</w:t>
      </w:r>
      <w:r w:rsidR="00122127" w:rsidRPr="000D03B4">
        <w:rPr>
          <w:b/>
          <w:sz w:val="24"/>
        </w:rPr>
        <w:t>金融企业</w:t>
      </w:r>
      <w:bookmarkEnd w:id="59"/>
      <w:bookmarkEnd w:id="60"/>
      <w:bookmarkEnd w:id="61"/>
      <w:bookmarkEnd w:id="62"/>
      <w:bookmarkEnd w:id="63"/>
      <w:bookmarkEnd w:id="64"/>
      <w:r w:rsidR="00785C99" w:rsidRPr="000D03B4">
        <w:rPr>
          <w:b/>
          <w:sz w:val="24"/>
        </w:rPr>
        <w:t>评估类业务</w:t>
      </w:r>
      <w:r w:rsidR="00B84628" w:rsidRPr="000D03B4">
        <w:rPr>
          <w:b/>
          <w:sz w:val="24"/>
        </w:rPr>
        <w:t>需求</w:t>
      </w:r>
    </w:p>
    <w:p w14:paraId="73FAF3F5" w14:textId="7B1B8BBB" w:rsidR="00506AE0" w:rsidRPr="000D03B4" w:rsidRDefault="009F7A3A" w:rsidP="009B4991">
      <w:pPr>
        <w:adjustRightInd w:val="0"/>
        <w:snapToGrid w:val="0"/>
        <w:spacing w:line="276" w:lineRule="auto"/>
        <w:ind w:firstLineChars="200" w:firstLine="480"/>
        <w:rPr>
          <w:sz w:val="24"/>
        </w:rPr>
      </w:pPr>
      <w:bookmarkStart w:id="65" w:name="_Toc4784783"/>
      <w:bookmarkStart w:id="66" w:name="_Toc4603556"/>
      <w:bookmarkStart w:id="67" w:name="_Toc10395363"/>
      <w:r w:rsidRPr="000D03B4">
        <w:rPr>
          <w:sz w:val="24"/>
        </w:rPr>
        <w:t>1.</w:t>
      </w:r>
      <w:r w:rsidR="006A17A2" w:rsidRPr="000D03B4">
        <w:rPr>
          <w:sz w:val="24"/>
        </w:rPr>
        <w:t>业务来源</w:t>
      </w:r>
      <w:bookmarkEnd w:id="65"/>
      <w:bookmarkEnd w:id="66"/>
      <w:bookmarkEnd w:id="67"/>
    </w:p>
    <w:p w14:paraId="7D6DFAC2" w14:textId="78F06ECC" w:rsidR="00506AE0" w:rsidRPr="000D03B4" w:rsidRDefault="006145BC" w:rsidP="006145BC">
      <w:pPr>
        <w:adjustRightInd w:val="0"/>
        <w:snapToGrid w:val="0"/>
        <w:spacing w:line="276" w:lineRule="auto"/>
        <w:ind w:firstLineChars="200" w:firstLine="480"/>
        <w:rPr>
          <w:sz w:val="24"/>
        </w:rPr>
      </w:pPr>
      <w:r w:rsidRPr="000D03B4">
        <w:rPr>
          <w:rFonts w:hint="eastAsia"/>
          <w:sz w:val="24"/>
        </w:rPr>
        <w:lastRenderedPageBreak/>
        <w:t>国有金融企业触发评估类业务需求的经济行为主要包括国有金融企业直接股权投资和市场化银行债权转股权等</w:t>
      </w:r>
      <w:r w:rsidR="00122127" w:rsidRPr="000D03B4">
        <w:rPr>
          <w:sz w:val="24"/>
        </w:rPr>
        <w:t>。</w:t>
      </w:r>
    </w:p>
    <w:p w14:paraId="7F39CEF2" w14:textId="189D7DBA" w:rsidR="00506AE0" w:rsidRPr="000D03B4" w:rsidRDefault="009F7A3A" w:rsidP="009B4991">
      <w:pPr>
        <w:adjustRightInd w:val="0"/>
        <w:snapToGrid w:val="0"/>
        <w:spacing w:line="276" w:lineRule="auto"/>
        <w:ind w:firstLineChars="200" w:firstLine="480"/>
        <w:rPr>
          <w:sz w:val="24"/>
        </w:rPr>
      </w:pPr>
      <w:bookmarkStart w:id="68" w:name="_Toc4603557"/>
      <w:bookmarkStart w:id="69" w:name="_Toc4784784"/>
      <w:bookmarkStart w:id="70" w:name="_Toc10395364"/>
      <w:r w:rsidRPr="000D03B4">
        <w:rPr>
          <w:sz w:val="24"/>
        </w:rPr>
        <w:t>（</w:t>
      </w:r>
      <w:r w:rsidRPr="000D03B4">
        <w:rPr>
          <w:sz w:val="24"/>
        </w:rPr>
        <w:t>1</w:t>
      </w:r>
      <w:r w:rsidRPr="000D03B4">
        <w:rPr>
          <w:sz w:val="24"/>
        </w:rPr>
        <w:t>）国有金融企业直接股权投资</w:t>
      </w:r>
      <w:bookmarkEnd w:id="68"/>
      <w:bookmarkEnd w:id="69"/>
      <w:bookmarkEnd w:id="70"/>
    </w:p>
    <w:p w14:paraId="67C51E76" w14:textId="175D2384" w:rsidR="00506AE0" w:rsidRPr="000D03B4" w:rsidRDefault="00122127" w:rsidP="009B4991">
      <w:pPr>
        <w:adjustRightInd w:val="0"/>
        <w:snapToGrid w:val="0"/>
        <w:spacing w:line="276" w:lineRule="auto"/>
        <w:ind w:firstLineChars="200" w:firstLine="480"/>
        <w:rPr>
          <w:sz w:val="24"/>
        </w:rPr>
      </w:pPr>
      <w:r w:rsidRPr="000D03B4">
        <w:rPr>
          <w:sz w:val="24"/>
        </w:rPr>
        <w:t>《关于进一步明确国有金融企业直接股权投资有关资产管理问题的通知》（财金〔</w:t>
      </w:r>
      <w:r w:rsidRPr="000D03B4">
        <w:rPr>
          <w:sz w:val="24"/>
        </w:rPr>
        <w:t>2014</w:t>
      </w:r>
      <w:r w:rsidRPr="000D03B4">
        <w:rPr>
          <w:sz w:val="24"/>
        </w:rPr>
        <w:t>〕</w:t>
      </w:r>
      <w:r w:rsidRPr="000D03B4">
        <w:rPr>
          <w:sz w:val="24"/>
        </w:rPr>
        <w:t>31</w:t>
      </w:r>
      <w:r w:rsidRPr="000D03B4">
        <w:rPr>
          <w:sz w:val="24"/>
        </w:rPr>
        <w:t>号）中要求</w:t>
      </w:r>
      <w:r w:rsidRPr="000D03B4">
        <w:rPr>
          <w:sz w:val="24"/>
        </w:rPr>
        <w:t>“</w:t>
      </w:r>
      <w:r w:rsidRPr="000D03B4">
        <w:rPr>
          <w:sz w:val="24"/>
        </w:rPr>
        <w:t>国有金融企业开展直接股权投资，应当根据拟投资项目的具体情况，采用国际通用的估值方法，对拟投资企业的投资价值进行评估，得出审慎合理的估值结果</w:t>
      </w:r>
      <w:r w:rsidRPr="000D03B4">
        <w:rPr>
          <w:sz w:val="24"/>
        </w:rPr>
        <w:t>”</w:t>
      </w:r>
      <w:r w:rsidRPr="000D03B4">
        <w:rPr>
          <w:sz w:val="24"/>
        </w:rPr>
        <w:t>，同时规定</w:t>
      </w:r>
      <w:r w:rsidRPr="000D03B4">
        <w:rPr>
          <w:sz w:val="24"/>
        </w:rPr>
        <w:t>“</w:t>
      </w:r>
      <w:r w:rsidRPr="000D03B4">
        <w:rPr>
          <w:sz w:val="24"/>
        </w:rPr>
        <w:t>国有金融企业可以按照成本效益和效率原则，自主确定是否聘请专业机构对拟投资企业进行资产评估，资产评估结果由企业履行内部备案程序</w:t>
      </w:r>
      <w:r w:rsidRPr="000D03B4">
        <w:rPr>
          <w:sz w:val="24"/>
        </w:rPr>
        <w:t>”</w:t>
      </w:r>
      <w:r w:rsidRPr="000D03B4">
        <w:rPr>
          <w:sz w:val="24"/>
        </w:rPr>
        <w:t>。</w:t>
      </w:r>
      <w:r w:rsidR="00B47362" w:rsidRPr="000D03B4" w:rsidDel="00B47362">
        <w:rPr>
          <w:sz w:val="24"/>
        </w:rPr>
        <w:t xml:space="preserve"> </w:t>
      </w:r>
    </w:p>
    <w:p w14:paraId="102E7B26" w14:textId="6CECFC58" w:rsidR="00506AE0" w:rsidRPr="000D03B4" w:rsidRDefault="00916BE6" w:rsidP="009B4991">
      <w:pPr>
        <w:adjustRightInd w:val="0"/>
        <w:snapToGrid w:val="0"/>
        <w:spacing w:line="276" w:lineRule="auto"/>
        <w:ind w:firstLineChars="200" w:firstLine="480"/>
        <w:rPr>
          <w:sz w:val="24"/>
        </w:rPr>
      </w:pPr>
      <w:bookmarkStart w:id="71" w:name="_Toc4603558"/>
      <w:bookmarkStart w:id="72" w:name="_Toc4784785"/>
      <w:bookmarkStart w:id="73" w:name="_Toc10395365"/>
      <w:r w:rsidRPr="000D03B4">
        <w:rPr>
          <w:sz w:val="24"/>
        </w:rPr>
        <w:t>（</w:t>
      </w:r>
      <w:r w:rsidRPr="000D03B4">
        <w:rPr>
          <w:sz w:val="24"/>
        </w:rPr>
        <w:t>2</w:t>
      </w:r>
      <w:r w:rsidRPr="000D03B4">
        <w:rPr>
          <w:sz w:val="24"/>
        </w:rPr>
        <w:t>）市场化银行债权转股权</w:t>
      </w:r>
      <w:bookmarkEnd w:id="71"/>
      <w:bookmarkEnd w:id="72"/>
      <w:bookmarkEnd w:id="73"/>
    </w:p>
    <w:p w14:paraId="623711F5" w14:textId="4BDBE7B1" w:rsidR="00506AE0" w:rsidRPr="000D03B4" w:rsidRDefault="00122127" w:rsidP="009B4991">
      <w:pPr>
        <w:adjustRightInd w:val="0"/>
        <w:snapToGrid w:val="0"/>
        <w:spacing w:line="276" w:lineRule="auto"/>
        <w:ind w:firstLineChars="200" w:firstLine="480"/>
        <w:rPr>
          <w:sz w:val="24"/>
        </w:rPr>
      </w:pPr>
      <w:r w:rsidRPr="000D03B4">
        <w:rPr>
          <w:sz w:val="24"/>
        </w:rPr>
        <w:t>《关于市场化银行债权转股权实施中有关具体政策问题的通知》（</w:t>
      </w:r>
      <w:proofErr w:type="gramStart"/>
      <w:r w:rsidRPr="000D03B4">
        <w:rPr>
          <w:sz w:val="24"/>
        </w:rPr>
        <w:t>发改财金</w:t>
      </w:r>
      <w:proofErr w:type="gramEnd"/>
      <w:r w:rsidRPr="000D03B4">
        <w:rPr>
          <w:sz w:val="24"/>
        </w:rPr>
        <w:t>〔</w:t>
      </w:r>
      <w:r w:rsidRPr="000D03B4">
        <w:rPr>
          <w:sz w:val="24"/>
        </w:rPr>
        <w:t>2018</w:t>
      </w:r>
      <w:r w:rsidRPr="000D03B4">
        <w:rPr>
          <w:sz w:val="24"/>
        </w:rPr>
        <w:t>〕</w:t>
      </w:r>
      <w:r w:rsidRPr="000D03B4">
        <w:rPr>
          <w:sz w:val="24"/>
        </w:rPr>
        <w:t>152</w:t>
      </w:r>
      <w:r w:rsidRPr="000D03B4">
        <w:rPr>
          <w:sz w:val="24"/>
        </w:rPr>
        <w:t>号）中对银行和市场化债转股实施机构规定</w:t>
      </w:r>
      <w:r w:rsidRPr="000D03B4">
        <w:rPr>
          <w:sz w:val="24"/>
        </w:rPr>
        <w:t>“</w:t>
      </w:r>
      <w:r w:rsidRPr="000D03B4">
        <w:rPr>
          <w:sz w:val="24"/>
        </w:rPr>
        <w:t>可根据对象企业降低杠杆率的目标，设计股债结合、以股为主的综合性降杠杆方案，并允许有条件、分阶段实现转股。鼓励以收债转股模式开展市场化债转股</w:t>
      </w:r>
      <w:r w:rsidRPr="000D03B4">
        <w:rPr>
          <w:sz w:val="24"/>
        </w:rPr>
        <w:t>”</w:t>
      </w:r>
      <w:r w:rsidRPr="000D03B4">
        <w:rPr>
          <w:sz w:val="24"/>
        </w:rPr>
        <w:t>。</w:t>
      </w:r>
      <w:r w:rsidR="00355589" w:rsidRPr="000D03B4" w:rsidDel="00355589">
        <w:rPr>
          <w:sz w:val="24"/>
        </w:rPr>
        <w:t xml:space="preserve"> </w:t>
      </w:r>
      <w:r w:rsidR="00355589" w:rsidRPr="000D03B4">
        <w:rPr>
          <w:sz w:val="24"/>
        </w:rPr>
        <w:t>在</w:t>
      </w:r>
      <w:r w:rsidRPr="000D03B4">
        <w:rPr>
          <w:sz w:val="24"/>
        </w:rPr>
        <w:t>“</w:t>
      </w:r>
      <w:r w:rsidRPr="000D03B4">
        <w:rPr>
          <w:sz w:val="24"/>
        </w:rPr>
        <w:t>市场化银行债权转股权</w:t>
      </w:r>
      <w:r w:rsidRPr="000D03B4">
        <w:rPr>
          <w:sz w:val="24"/>
        </w:rPr>
        <w:t>”</w:t>
      </w:r>
      <w:r w:rsidR="009F6F0A" w:rsidRPr="000D03B4">
        <w:rPr>
          <w:sz w:val="24"/>
        </w:rPr>
        <w:t>工作中</w:t>
      </w:r>
      <w:r w:rsidRPr="000D03B4">
        <w:rPr>
          <w:sz w:val="24"/>
        </w:rPr>
        <w:t>，市场化的</w:t>
      </w:r>
      <w:proofErr w:type="gramStart"/>
      <w:r w:rsidRPr="000D03B4">
        <w:rPr>
          <w:sz w:val="24"/>
        </w:rPr>
        <w:t>最</w:t>
      </w:r>
      <w:proofErr w:type="gramEnd"/>
      <w:r w:rsidRPr="000D03B4">
        <w:rPr>
          <w:sz w:val="24"/>
        </w:rPr>
        <w:t>核心要素就是价值，</w:t>
      </w:r>
      <w:r w:rsidR="00CC3E9E" w:rsidRPr="000D03B4">
        <w:rPr>
          <w:sz w:val="24"/>
        </w:rPr>
        <w:t>以</w:t>
      </w:r>
      <w:r w:rsidRPr="000D03B4">
        <w:rPr>
          <w:sz w:val="24"/>
        </w:rPr>
        <w:t>买卖双方都能够认可的价值作为交换的基础，资产评估在此过程中属于必须的经济行为。</w:t>
      </w:r>
    </w:p>
    <w:p w14:paraId="75B8C3D6" w14:textId="1FFA3574" w:rsidR="00506AE0" w:rsidRPr="000D03B4" w:rsidRDefault="009F7A3A" w:rsidP="008C6143">
      <w:pPr>
        <w:adjustRightInd w:val="0"/>
        <w:snapToGrid w:val="0"/>
        <w:spacing w:line="276" w:lineRule="auto"/>
        <w:ind w:firstLineChars="200" w:firstLine="480"/>
        <w:jc w:val="left"/>
        <w:rPr>
          <w:sz w:val="24"/>
        </w:rPr>
      </w:pPr>
      <w:bookmarkStart w:id="74" w:name="_Toc4603559"/>
      <w:bookmarkStart w:id="75" w:name="_Toc4784786"/>
      <w:bookmarkStart w:id="76" w:name="_Toc10395366"/>
      <w:r w:rsidRPr="000D03B4">
        <w:rPr>
          <w:sz w:val="24"/>
        </w:rPr>
        <w:t>2.</w:t>
      </w:r>
      <w:r w:rsidR="00122127" w:rsidRPr="000D03B4">
        <w:rPr>
          <w:sz w:val="24"/>
        </w:rPr>
        <w:t>文件依据</w:t>
      </w:r>
      <w:bookmarkEnd w:id="74"/>
      <w:bookmarkEnd w:id="75"/>
      <w:bookmarkEnd w:id="76"/>
    </w:p>
    <w:p w14:paraId="4C3DCECB" w14:textId="4EA7673B" w:rsidR="00506AE0" w:rsidRPr="000D03B4" w:rsidRDefault="00916BE6" w:rsidP="008C6143">
      <w:pPr>
        <w:adjustRightInd w:val="0"/>
        <w:snapToGrid w:val="0"/>
        <w:spacing w:line="276" w:lineRule="auto"/>
        <w:ind w:firstLineChars="200" w:firstLine="480"/>
        <w:jc w:val="left"/>
        <w:rPr>
          <w:sz w:val="24"/>
        </w:rPr>
      </w:pPr>
      <w:r w:rsidRPr="000D03B4">
        <w:rPr>
          <w:sz w:val="24"/>
        </w:rPr>
        <w:t>（</w:t>
      </w:r>
      <w:r w:rsidRPr="000D03B4">
        <w:rPr>
          <w:sz w:val="24"/>
        </w:rPr>
        <w:t>1</w:t>
      </w:r>
      <w:r w:rsidRPr="000D03B4">
        <w:rPr>
          <w:sz w:val="24"/>
        </w:rPr>
        <w:t>）</w:t>
      </w:r>
      <w:r w:rsidR="00122127" w:rsidRPr="000D03B4">
        <w:rPr>
          <w:sz w:val="24"/>
        </w:rPr>
        <w:t>《关于进一步明确国有金融企业直接股权投资有关资产管理问题的通知》（财金〔</w:t>
      </w:r>
      <w:r w:rsidR="00122127" w:rsidRPr="000D03B4">
        <w:rPr>
          <w:sz w:val="24"/>
        </w:rPr>
        <w:t>2014</w:t>
      </w:r>
      <w:r w:rsidR="00122127" w:rsidRPr="000D03B4">
        <w:rPr>
          <w:sz w:val="24"/>
        </w:rPr>
        <w:t>〕</w:t>
      </w:r>
      <w:r w:rsidR="00122127" w:rsidRPr="000D03B4">
        <w:rPr>
          <w:sz w:val="24"/>
        </w:rPr>
        <w:t>31</w:t>
      </w:r>
      <w:r w:rsidR="00122127" w:rsidRPr="000D03B4">
        <w:rPr>
          <w:sz w:val="24"/>
        </w:rPr>
        <w:t>号）；</w:t>
      </w:r>
    </w:p>
    <w:p w14:paraId="7A332ADE" w14:textId="7B7B6593" w:rsidR="00506AE0" w:rsidRPr="000D03B4" w:rsidRDefault="00916BE6" w:rsidP="008C6143">
      <w:pPr>
        <w:adjustRightInd w:val="0"/>
        <w:snapToGrid w:val="0"/>
        <w:spacing w:line="276" w:lineRule="auto"/>
        <w:ind w:firstLineChars="200" w:firstLine="480"/>
        <w:jc w:val="left"/>
        <w:rPr>
          <w:sz w:val="24"/>
        </w:rPr>
      </w:pPr>
      <w:r w:rsidRPr="000D03B4">
        <w:rPr>
          <w:sz w:val="24"/>
        </w:rPr>
        <w:t>（</w:t>
      </w:r>
      <w:r w:rsidRPr="000D03B4">
        <w:rPr>
          <w:sz w:val="24"/>
        </w:rPr>
        <w:t>2</w:t>
      </w:r>
      <w:r w:rsidRPr="000D03B4">
        <w:rPr>
          <w:sz w:val="24"/>
        </w:rPr>
        <w:t>）</w:t>
      </w:r>
      <w:r w:rsidR="00122127" w:rsidRPr="000D03B4">
        <w:rPr>
          <w:sz w:val="24"/>
        </w:rPr>
        <w:t>《关于市场化银行债权转股权实施中有关具体政策问题的通知》（</w:t>
      </w:r>
      <w:proofErr w:type="gramStart"/>
      <w:r w:rsidR="00122127" w:rsidRPr="000D03B4">
        <w:rPr>
          <w:sz w:val="24"/>
        </w:rPr>
        <w:t>发改财金</w:t>
      </w:r>
      <w:proofErr w:type="gramEnd"/>
      <w:r w:rsidR="00122127" w:rsidRPr="000D03B4">
        <w:rPr>
          <w:sz w:val="24"/>
        </w:rPr>
        <w:t>〔</w:t>
      </w:r>
      <w:r w:rsidR="00122127" w:rsidRPr="000D03B4">
        <w:rPr>
          <w:sz w:val="24"/>
        </w:rPr>
        <w:t>2018</w:t>
      </w:r>
      <w:r w:rsidR="00122127" w:rsidRPr="000D03B4">
        <w:rPr>
          <w:sz w:val="24"/>
        </w:rPr>
        <w:t>〕</w:t>
      </w:r>
      <w:r w:rsidR="00122127" w:rsidRPr="000D03B4">
        <w:rPr>
          <w:sz w:val="24"/>
        </w:rPr>
        <w:t>152</w:t>
      </w:r>
      <w:r w:rsidR="00122127" w:rsidRPr="000D03B4">
        <w:rPr>
          <w:sz w:val="24"/>
        </w:rPr>
        <w:t>号）；</w:t>
      </w:r>
    </w:p>
    <w:p w14:paraId="667CF6BE" w14:textId="40A47BE3" w:rsidR="006A17A2" w:rsidRPr="000D03B4" w:rsidRDefault="00916BE6" w:rsidP="008C6143">
      <w:pPr>
        <w:adjustRightInd w:val="0"/>
        <w:snapToGrid w:val="0"/>
        <w:spacing w:line="276" w:lineRule="auto"/>
        <w:ind w:firstLineChars="200" w:firstLine="480"/>
        <w:jc w:val="left"/>
        <w:rPr>
          <w:sz w:val="24"/>
        </w:rPr>
      </w:pPr>
      <w:r w:rsidRPr="000D03B4">
        <w:rPr>
          <w:sz w:val="24"/>
        </w:rPr>
        <w:t>（</w:t>
      </w:r>
      <w:r w:rsidRPr="000D03B4">
        <w:rPr>
          <w:sz w:val="24"/>
        </w:rPr>
        <w:t>3</w:t>
      </w:r>
      <w:r w:rsidRPr="000D03B4">
        <w:rPr>
          <w:sz w:val="24"/>
        </w:rPr>
        <w:t>）</w:t>
      </w:r>
      <w:r w:rsidR="00A13157" w:rsidRPr="000D03B4">
        <w:rPr>
          <w:sz w:val="24"/>
        </w:rPr>
        <w:t>《金融资产投资公司管理办法（试行）》（银保监会令〔</w:t>
      </w:r>
      <w:r w:rsidR="00A13157" w:rsidRPr="000D03B4">
        <w:rPr>
          <w:sz w:val="24"/>
        </w:rPr>
        <w:t>2018</w:t>
      </w:r>
      <w:r w:rsidR="00A13157" w:rsidRPr="000D03B4">
        <w:rPr>
          <w:sz w:val="24"/>
        </w:rPr>
        <w:t>〕</w:t>
      </w:r>
      <w:r w:rsidR="00A13157" w:rsidRPr="000D03B4">
        <w:rPr>
          <w:sz w:val="24"/>
        </w:rPr>
        <w:t>4</w:t>
      </w:r>
      <w:r w:rsidR="00A13157" w:rsidRPr="000D03B4">
        <w:rPr>
          <w:sz w:val="24"/>
        </w:rPr>
        <w:t>号）</w:t>
      </w:r>
      <w:r w:rsidR="00CF63FE">
        <w:rPr>
          <w:rFonts w:hint="eastAsia"/>
          <w:sz w:val="24"/>
        </w:rPr>
        <w:t>等</w:t>
      </w:r>
      <w:r w:rsidR="00A13157" w:rsidRPr="000D03B4">
        <w:rPr>
          <w:sz w:val="24"/>
        </w:rPr>
        <w:t>。</w:t>
      </w:r>
    </w:p>
    <w:p w14:paraId="6659557E" w14:textId="09B92EFE" w:rsidR="00506AE0" w:rsidRPr="000D03B4" w:rsidRDefault="009F7A3A" w:rsidP="00C17103">
      <w:pPr>
        <w:adjustRightInd w:val="0"/>
        <w:snapToGrid w:val="0"/>
        <w:spacing w:line="276" w:lineRule="auto"/>
        <w:ind w:firstLineChars="200" w:firstLine="482"/>
        <w:rPr>
          <w:b/>
          <w:sz w:val="24"/>
        </w:rPr>
      </w:pPr>
      <w:bookmarkStart w:id="77" w:name="_Toc2778975"/>
      <w:bookmarkStart w:id="78" w:name="_Toc4784787"/>
      <w:bookmarkStart w:id="79" w:name="_Toc4603560"/>
      <w:bookmarkStart w:id="80" w:name="_Toc535836443"/>
      <w:bookmarkStart w:id="81" w:name="_Toc3385895"/>
      <w:bookmarkStart w:id="82" w:name="_Toc10395367"/>
      <w:r w:rsidRPr="000D03B4">
        <w:rPr>
          <w:b/>
          <w:sz w:val="24"/>
        </w:rPr>
        <w:t>（四）</w:t>
      </w:r>
      <w:r w:rsidR="006A17A2" w:rsidRPr="000D03B4">
        <w:rPr>
          <w:b/>
          <w:sz w:val="24"/>
        </w:rPr>
        <w:t>中央</w:t>
      </w:r>
      <w:r w:rsidR="00122127" w:rsidRPr="000D03B4">
        <w:rPr>
          <w:b/>
          <w:sz w:val="24"/>
        </w:rPr>
        <w:t>文化企业</w:t>
      </w:r>
      <w:bookmarkEnd w:id="77"/>
      <w:bookmarkEnd w:id="78"/>
      <w:bookmarkEnd w:id="79"/>
      <w:bookmarkEnd w:id="80"/>
      <w:bookmarkEnd w:id="81"/>
      <w:bookmarkEnd w:id="82"/>
      <w:r w:rsidR="006D333F" w:rsidRPr="000D03B4">
        <w:rPr>
          <w:b/>
          <w:sz w:val="24"/>
        </w:rPr>
        <w:t>评估类业务</w:t>
      </w:r>
      <w:r w:rsidR="00B84628" w:rsidRPr="000D03B4">
        <w:rPr>
          <w:b/>
          <w:sz w:val="24"/>
        </w:rPr>
        <w:t>需求</w:t>
      </w:r>
    </w:p>
    <w:p w14:paraId="669FA137" w14:textId="783D4EF4" w:rsidR="00506AE0" w:rsidRPr="000D03B4" w:rsidRDefault="009F7A3A" w:rsidP="009B4991">
      <w:pPr>
        <w:adjustRightInd w:val="0"/>
        <w:snapToGrid w:val="0"/>
        <w:spacing w:line="276" w:lineRule="auto"/>
        <w:ind w:firstLineChars="200" w:firstLine="480"/>
        <w:rPr>
          <w:sz w:val="24"/>
        </w:rPr>
      </w:pPr>
      <w:bookmarkStart w:id="83" w:name="_Toc4603561"/>
      <w:bookmarkStart w:id="84" w:name="_Toc4784788"/>
      <w:bookmarkStart w:id="85" w:name="_Toc10395368"/>
      <w:r w:rsidRPr="000D03B4">
        <w:rPr>
          <w:sz w:val="24"/>
        </w:rPr>
        <w:t>1.</w:t>
      </w:r>
      <w:r w:rsidR="00C1578B" w:rsidRPr="000D03B4">
        <w:rPr>
          <w:sz w:val="24"/>
        </w:rPr>
        <w:t>业务来源</w:t>
      </w:r>
      <w:bookmarkEnd w:id="83"/>
      <w:bookmarkEnd w:id="84"/>
      <w:bookmarkEnd w:id="85"/>
    </w:p>
    <w:p w14:paraId="659D88E3" w14:textId="77777777" w:rsidR="006145BC" w:rsidRPr="000D03B4" w:rsidRDefault="006145BC" w:rsidP="006145BC">
      <w:pPr>
        <w:adjustRightInd w:val="0"/>
        <w:snapToGrid w:val="0"/>
        <w:spacing w:line="276" w:lineRule="auto"/>
        <w:ind w:firstLineChars="200" w:firstLine="480"/>
        <w:rPr>
          <w:sz w:val="24"/>
        </w:rPr>
      </w:pPr>
      <w:bookmarkStart w:id="86" w:name="_Toc4784789"/>
      <w:bookmarkStart w:id="87" w:name="_Toc4603562"/>
      <w:bookmarkStart w:id="88" w:name="_Toc10395369"/>
      <w:r w:rsidRPr="000D03B4">
        <w:rPr>
          <w:rFonts w:hint="eastAsia"/>
          <w:sz w:val="24"/>
        </w:rPr>
        <w:t>2012</w:t>
      </w:r>
      <w:r w:rsidRPr="000D03B4">
        <w:rPr>
          <w:rFonts w:hint="eastAsia"/>
          <w:sz w:val="24"/>
        </w:rPr>
        <w:t>年，《中央文化企业国有资产评估管理暂行办法》（</w:t>
      </w:r>
      <w:proofErr w:type="gramStart"/>
      <w:r w:rsidRPr="000D03B4">
        <w:rPr>
          <w:rFonts w:hint="eastAsia"/>
          <w:sz w:val="24"/>
        </w:rPr>
        <w:t>财文资〔</w:t>
      </w:r>
      <w:r w:rsidRPr="000D03B4">
        <w:rPr>
          <w:rFonts w:hint="eastAsia"/>
          <w:sz w:val="24"/>
        </w:rPr>
        <w:t>2012</w:t>
      </w:r>
      <w:r w:rsidRPr="000D03B4">
        <w:rPr>
          <w:rFonts w:hint="eastAsia"/>
          <w:sz w:val="24"/>
        </w:rPr>
        <w:t>〕</w:t>
      </w:r>
      <w:proofErr w:type="gramEnd"/>
      <w:r w:rsidRPr="000D03B4">
        <w:rPr>
          <w:rFonts w:hint="eastAsia"/>
          <w:sz w:val="24"/>
        </w:rPr>
        <w:t>15</w:t>
      </w:r>
      <w:r w:rsidRPr="000D03B4">
        <w:rPr>
          <w:rFonts w:hint="eastAsia"/>
          <w:sz w:val="24"/>
        </w:rPr>
        <w:t>号）对中央文化企业应当进行资产评估的十二个事项进行了明确规定。中央文化企业触发评估类业务需求的经济行为主要包括：</w:t>
      </w:r>
    </w:p>
    <w:p w14:paraId="1FF36825" w14:textId="679951FE" w:rsidR="00506AE0" w:rsidRPr="000D03B4" w:rsidRDefault="009F7A3A" w:rsidP="006145BC">
      <w:pPr>
        <w:adjustRightInd w:val="0"/>
        <w:snapToGrid w:val="0"/>
        <w:spacing w:line="276" w:lineRule="auto"/>
        <w:ind w:firstLineChars="200" w:firstLine="480"/>
        <w:rPr>
          <w:sz w:val="24"/>
        </w:rPr>
      </w:pPr>
      <w:r w:rsidRPr="000D03B4">
        <w:rPr>
          <w:sz w:val="24"/>
        </w:rPr>
        <w:t>（</w:t>
      </w:r>
      <w:r w:rsidRPr="000D03B4">
        <w:rPr>
          <w:sz w:val="24"/>
        </w:rPr>
        <w:t>1</w:t>
      </w:r>
      <w:r w:rsidRPr="000D03B4">
        <w:rPr>
          <w:sz w:val="24"/>
        </w:rPr>
        <w:t>）经营性文化事业单位转制为企业</w:t>
      </w:r>
      <w:bookmarkEnd w:id="86"/>
      <w:bookmarkEnd w:id="87"/>
      <w:bookmarkEnd w:id="88"/>
    </w:p>
    <w:p w14:paraId="57EF0CD6" w14:textId="63745677" w:rsidR="00506AE0" w:rsidRPr="000D03B4" w:rsidRDefault="00122127" w:rsidP="009B4991">
      <w:pPr>
        <w:adjustRightInd w:val="0"/>
        <w:snapToGrid w:val="0"/>
        <w:spacing w:line="276" w:lineRule="auto"/>
        <w:ind w:firstLineChars="200" w:firstLine="480"/>
        <w:rPr>
          <w:sz w:val="24"/>
        </w:rPr>
      </w:pPr>
      <w:r w:rsidRPr="000D03B4">
        <w:rPr>
          <w:sz w:val="24"/>
        </w:rPr>
        <w:t>2014</w:t>
      </w:r>
      <w:r w:rsidRPr="000D03B4">
        <w:rPr>
          <w:sz w:val="24"/>
        </w:rPr>
        <w:t>年国务院办公厅</w:t>
      </w:r>
      <w:r w:rsidR="00321050" w:rsidRPr="000D03B4">
        <w:rPr>
          <w:sz w:val="24"/>
        </w:rPr>
        <w:t>发布</w:t>
      </w:r>
      <w:r w:rsidRPr="000D03B4">
        <w:rPr>
          <w:sz w:val="24"/>
        </w:rPr>
        <w:t>《关于印发文化体制改革中经营性文化事业单位转制为企业和进一步支持文化企业发展两个规定的通知》</w:t>
      </w:r>
      <w:r w:rsidR="00DE6798" w:rsidRPr="000D03B4">
        <w:rPr>
          <w:sz w:val="24"/>
        </w:rPr>
        <w:t>（</w:t>
      </w:r>
      <w:r w:rsidRPr="000D03B4">
        <w:rPr>
          <w:sz w:val="24"/>
        </w:rPr>
        <w:t>国办发〔</w:t>
      </w:r>
      <w:r w:rsidRPr="000D03B4">
        <w:rPr>
          <w:sz w:val="24"/>
        </w:rPr>
        <w:t>2014</w:t>
      </w:r>
      <w:r w:rsidRPr="000D03B4">
        <w:rPr>
          <w:sz w:val="24"/>
        </w:rPr>
        <w:t>〕</w:t>
      </w:r>
      <w:r w:rsidRPr="000D03B4">
        <w:rPr>
          <w:sz w:val="24"/>
        </w:rPr>
        <w:t>15</w:t>
      </w:r>
      <w:r w:rsidRPr="000D03B4">
        <w:rPr>
          <w:sz w:val="24"/>
        </w:rPr>
        <w:t>号</w:t>
      </w:r>
      <w:r w:rsidR="00DE6798" w:rsidRPr="000D03B4">
        <w:rPr>
          <w:sz w:val="24"/>
        </w:rPr>
        <w:t>）</w:t>
      </w:r>
      <w:r w:rsidRPr="000D03B4">
        <w:rPr>
          <w:sz w:val="24"/>
        </w:rPr>
        <w:t>，要求</w:t>
      </w:r>
      <w:r w:rsidRPr="000D03B4">
        <w:rPr>
          <w:sz w:val="24"/>
        </w:rPr>
        <w:t>“</w:t>
      </w:r>
      <w:r w:rsidRPr="000D03B4">
        <w:rPr>
          <w:sz w:val="24"/>
        </w:rPr>
        <w:t>经营性文化事业单位转制为企业，要认真做好资产清查、资产评估、产权登记等基础工作</w:t>
      </w:r>
      <w:r w:rsidRPr="000D03B4">
        <w:rPr>
          <w:sz w:val="24"/>
        </w:rPr>
        <w:t>”</w:t>
      </w:r>
      <w:r w:rsidRPr="000D03B4">
        <w:rPr>
          <w:sz w:val="24"/>
        </w:rPr>
        <w:t>。</w:t>
      </w:r>
    </w:p>
    <w:p w14:paraId="08CC4CD4" w14:textId="5408F5DC" w:rsidR="00506AE0" w:rsidRPr="000D03B4" w:rsidRDefault="009F7A3A" w:rsidP="009B4991">
      <w:pPr>
        <w:adjustRightInd w:val="0"/>
        <w:snapToGrid w:val="0"/>
        <w:spacing w:line="276" w:lineRule="auto"/>
        <w:ind w:firstLineChars="200" w:firstLine="480"/>
        <w:rPr>
          <w:sz w:val="24"/>
        </w:rPr>
      </w:pPr>
      <w:bookmarkStart w:id="89" w:name="_Toc4603563"/>
      <w:bookmarkStart w:id="90" w:name="_Toc4784790"/>
      <w:bookmarkStart w:id="91" w:name="_Toc10395370"/>
      <w:r w:rsidRPr="000D03B4">
        <w:rPr>
          <w:sz w:val="24"/>
        </w:rPr>
        <w:t>（</w:t>
      </w:r>
      <w:r w:rsidRPr="000D03B4">
        <w:rPr>
          <w:sz w:val="24"/>
        </w:rPr>
        <w:t>2</w:t>
      </w:r>
      <w:r w:rsidRPr="000D03B4">
        <w:rPr>
          <w:sz w:val="24"/>
        </w:rPr>
        <w:t>）中央文化企业改制</w:t>
      </w:r>
      <w:bookmarkEnd w:id="89"/>
      <w:bookmarkEnd w:id="90"/>
      <w:bookmarkEnd w:id="91"/>
    </w:p>
    <w:p w14:paraId="20AC27C0" w14:textId="4E70C754" w:rsidR="00506AE0" w:rsidRPr="000D03B4" w:rsidRDefault="00122127" w:rsidP="009B4991">
      <w:pPr>
        <w:adjustRightInd w:val="0"/>
        <w:snapToGrid w:val="0"/>
        <w:spacing w:line="276" w:lineRule="auto"/>
        <w:ind w:firstLineChars="200" w:firstLine="480"/>
        <w:rPr>
          <w:sz w:val="24"/>
        </w:rPr>
      </w:pPr>
      <w:r w:rsidRPr="000D03B4">
        <w:rPr>
          <w:sz w:val="24"/>
        </w:rPr>
        <w:t>2017</w:t>
      </w:r>
      <w:r w:rsidRPr="000D03B4">
        <w:rPr>
          <w:sz w:val="24"/>
        </w:rPr>
        <w:t>年中共中央宣传部和财政部</w:t>
      </w:r>
      <w:r w:rsidR="00321050" w:rsidRPr="000D03B4">
        <w:rPr>
          <w:sz w:val="24"/>
        </w:rPr>
        <w:t>发布</w:t>
      </w:r>
      <w:r w:rsidRPr="000D03B4">
        <w:rPr>
          <w:sz w:val="24"/>
        </w:rPr>
        <w:t>《中央文化企业国有资产监督管理暂行办法》（中宣发〔</w:t>
      </w:r>
      <w:r w:rsidRPr="000D03B4">
        <w:rPr>
          <w:sz w:val="24"/>
        </w:rPr>
        <w:t>2017</w:t>
      </w:r>
      <w:r w:rsidRPr="000D03B4">
        <w:rPr>
          <w:sz w:val="24"/>
        </w:rPr>
        <w:t>〕</w:t>
      </w:r>
      <w:r w:rsidRPr="000D03B4">
        <w:rPr>
          <w:sz w:val="24"/>
        </w:rPr>
        <w:t>3</w:t>
      </w:r>
      <w:r w:rsidRPr="000D03B4">
        <w:rPr>
          <w:sz w:val="24"/>
        </w:rPr>
        <w:t>号），明确规定</w:t>
      </w:r>
      <w:r w:rsidRPr="000D03B4">
        <w:rPr>
          <w:sz w:val="24"/>
        </w:rPr>
        <w:t>“</w:t>
      </w:r>
      <w:r w:rsidRPr="000D03B4">
        <w:rPr>
          <w:sz w:val="24"/>
        </w:rPr>
        <w:t>财政部负责研究制定中央文化企业国有资产基础管理相关制度，对中央文化企业国有资产产权界定、产权登记、资产评估、清产核资、资产统计、财务等进行监督管理</w:t>
      </w:r>
      <w:r w:rsidRPr="000D03B4">
        <w:rPr>
          <w:sz w:val="24"/>
        </w:rPr>
        <w:t>”</w:t>
      </w:r>
      <w:r w:rsidRPr="000D03B4">
        <w:rPr>
          <w:sz w:val="24"/>
        </w:rPr>
        <w:t>。</w:t>
      </w:r>
    </w:p>
    <w:p w14:paraId="077DB636" w14:textId="0E49AE65" w:rsidR="00506AE0" w:rsidRPr="000D03B4" w:rsidRDefault="00122127" w:rsidP="009B4991">
      <w:pPr>
        <w:adjustRightInd w:val="0"/>
        <w:snapToGrid w:val="0"/>
        <w:spacing w:line="276" w:lineRule="auto"/>
        <w:ind w:firstLineChars="200" w:firstLine="480"/>
        <w:rPr>
          <w:sz w:val="24"/>
        </w:rPr>
      </w:pPr>
      <w:r w:rsidRPr="000D03B4">
        <w:rPr>
          <w:sz w:val="24"/>
        </w:rPr>
        <w:t>2018</w:t>
      </w:r>
      <w:r w:rsidRPr="000D03B4">
        <w:rPr>
          <w:sz w:val="24"/>
        </w:rPr>
        <w:t>年财政部和中共中央宣传部</w:t>
      </w:r>
      <w:r w:rsidR="00321050" w:rsidRPr="000D03B4">
        <w:rPr>
          <w:sz w:val="24"/>
        </w:rPr>
        <w:t>发布</w:t>
      </w:r>
      <w:r w:rsidRPr="000D03B4">
        <w:rPr>
          <w:sz w:val="24"/>
        </w:rPr>
        <w:t>《关于中央文化企业公司制改制工作实施</w:t>
      </w:r>
      <w:r w:rsidRPr="000D03B4">
        <w:rPr>
          <w:sz w:val="24"/>
        </w:rPr>
        <w:lastRenderedPageBreak/>
        <w:t>方案的通知》（财文〔</w:t>
      </w:r>
      <w:r w:rsidRPr="000D03B4">
        <w:rPr>
          <w:sz w:val="24"/>
        </w:rPr>
        <w:t>2018</w:t>
      </w:r>
      <w:r w:rsidRPr="000D03B4">
        <w:rPr>
          <w:sz w:val="24"/>
        </w:rPr>
        <w:t>〕</w:t>
      </w:r>
      <w:r w:rsidRPr="000D03B4">
        <w:rPr>
          <w:sz w:val="24"/>
        </w:rPr>
        <w:t>6</w:t>
      </w:r>
      <w:r w:rsidRPr="000D03B4">
        <w:rPr>
          <w:sz w:val="24"/>
        </w:rPr>
        <w:t>号），</w:t>
      </w:r>
      <w:r w:rsidR="00CC3E9E" w:rsidRPr="000D03B4">
        <w:rPr>
          <w:sz w:val="24"/>
        </w:rPr>
        <w:t>要求</w:t>
      </w:r>
      <w:r w:rsidRPr="000D03B4">
        <w:rPr>
          <w:sz w:val="24"/>
        </w:rPr>
        <w:t>中央文化企业</w:t>
      </w:r>
      <w:r w:rsidRPr="000D03B4">
        <w:rPr>
          <w:sz w:val="24"/>
        </w:rPr>
        <w:t>“</w:t>
      </w:r>
      <w:r w:rsidRPr="000D03B4">
        <w:rPr>
          <w:sz w:val="24"/>
        </w:rPr>
        <w:t>改制为股权多元化企业</w:t>
      </w:r>
      <w:r w:rsidRPr="000D03B4">
        <w:rPr>
          <w:sz w:val="24"/>
        </w:rPr>
        <w:t>,</w:t>
      </w:r>
      <w:r w:rsidRPr="000D03B4">
        <w:rPr>
          <w:sz w:val="24"/>
        </w:rPr>
        <w:t>要符合文化市场准入有关规定</w:t>
      </w:r>
      <w:r w:rsidRPr="000D03B4">
        <w:rPr>
          <w:sz w:val="24"/>
        </w:rPr>
        <w:t>,</w:t>
      </w:r>
      <w:r w:rsidRPr="000D03B4">
        <w:rPr>
          <w:sz w:val="24"/>
        </w:rPr>
        <w:t>不得违规引入社会资本</w:t>
      </w:r>
      <w:r w:rsidRPr="000D03B4">
        <w:rPr>
          <w:sz w:val="24"/>
        </w:rPr>
        <w:t>,</w:t>
      </w:r>
      <w:r w:rsidRPr="000D03B4">
        <w:rPr>
          <w:sz w:val="24"/>
        </w:rPr>
        <w:t>按要求履行清产核资、财务审计、资产评估、进场交易等各项程序</w:t>
      </w:r>
      <w:r w:rsidRPr="000D03B4">
        <w:rPr>
          <w:sz w:val="24"/>
        </w:rPr>
        <w:t>,</w:t>
      </w:r>
      <w:r w:rsidRPr="000D03B4">
        <w:rPr>
          <w:sz w:val="24"/>
        </w:rPr>
        <w:t>并以资产评估值作为认缴出资的依据</w:t>
      </w:r>
      <w:r w:rsidRPr="000D03B4">
        <w:rPr>
          <w:sz w:val="24"/>
        </w:rPr>
        <w:t>”</w:t>
      </w:r>
      <w:r w:rsidRPr="000D03B4">
        <w:rPr>
          <w:sz w:val="24"/>
        </w:rPr>
        <w:t>。</w:t>
      </w:r>
    </w:p>
    <w:p w14:paraId="7CC3F7B3" w14:textId="76CCC8A4" w:rsidR="00506AE0" w:rsidRPr="000D03B4" w:rsidRDefault="009F7A3A" w:rsidP="009B4991">
      <w:pPr>
        <w:adjustRightInd w:val="0"/>
        <w:snapToGrid w:val="0"/>
        <w:spacing w:line="276" w:lineRule="auto"/>
        <w:ind w:firstLineChars="200" w:firstLine="480"/>
        <w:rPr>
          <w:sz w:val="24"/>
        </w:rPr>
      </w:pPr>
      <w:bookmarkStart w:id="92" w:name="_Toc4603564"/>
      <w:bookmarkStart w:id="93" w:name="_Toc4784791"/>
      <w:bookmarkStart w:id="94" w:name="_Toc10395371"/>
      <w:r w:rsidRPr="000D03B4">
        <w:rPr>
          <w:sz w:val="24"/>
        </w:rPr>
        <w:t>（</w:t>
      </w:r>
      <w:r w:rsidRPr="000D03B4">
        <w:rPr>
          <w:sz w:val="24"/>
        </w:rPr>
        <w:t>3</w:t>
      </w:r>
      <w:r w:rsidRPr="000D03B4">
        <w:rPr>
          <w:sz w:val="24"/>
        </w:rPr>
        <w:t>）中央文化企业国有资产交易</w:t>
      </w:r>
      <w:bookmarkEnd w:id="92"/>
      <w:bookmarkEnd w:id="93"/>
      <w:bookmarkEnd w:id="94"/>
    </w:p>
    <w:p w14:paraId="0502962D" w14:textId="30BD5EAF" w:rsidR="00506AE0" w:rsidRPr="000D03B4" w:rsidRDefault="00122127" w:rsidP="009B4991">
      <w:pPr>
        <w:adjustRightInd w:val="0"/>
        <w:snapToGrid w:val="0"/>
        <w:spacing w:line="276" w:lineRule="auto"/>
        <w:ind w:firstLineChars="200" w:firstLine="480"/>
        <w:rPr>
          <w:sz w:val="24"/>
        </w:rPr>
      </w:pPr>
      <w:r w:rsidRPr="000D03B4">
        <w:rPr>
          <w:sz w:val="24"/>
        </w:rPr>
        <w:t>2017</w:t>
      </w:r>
      <w:r w:rsidRPr="000D03B4">
        <w:rPr>
          <w:sz w:val="24"/>
        </w:rPr>
        <w:t>年财政部</w:t>
      </w:r>
      <w:r w:rsidR="00321050" w:rsidRPr="000D03B4">
        <w:rPr>
          <w:sz w:val="24"/>
        </w:rPr>
        <w:t>发布</w:t>
      </w:r>
      <w:r w:rsidRPr="000D03B4">
        <w:rPr>
          <w:sz w:val="24"/>
        </w:rPr>
        <w:t>《关于进一步规范中央文化企业国有资产交易管理的通知》（财文〔</w:t>
      </w:r>
      <w:r w:rsidRPr="000D03B4">
        <w:rPr>
          <w:sz w:val="24"/>
        </w:rPr>
        <w:t>2017</w:t>
      </w:r>
      <w:r w:rsidRPr="000D03B4">
        <w:rPr>
          <w:sz w:val="24"/>
        </w:rPr>
        <w:t>〕</w:t>
      </w:r>
      <w:r w:rsidRPr="000D03B4">
        <w:rPr>
          <w:sz w:val="24"/>
        </w:rPr>
        <w:t>140</w:t>
      </w:r>
      <w:r w:rsidRPr="000D03B4">
        <w:rPr>
          <w:sz w:val="24"/>
        </w:rPr>
        <w:t>号），要求中央文化企业国有资产交易应充分发挥市场配置资源作用，遵循等价有偿和公开公平公正的原则。中央文化企业国有资产交易行为包括产权转让、增资、资产转让行为，根据《中央文化企业国有资产评估管理暂行办法》（</w:t>
      </w:r>
      <w:proofErr w:type="gramStart"/>
      <w:r w:rsidRPr="000D03B4">
        <w:rPr>
          <w:sz w:val="24"/>
        </w:rPr>
        <w:t>财文资〔</w:t>
      </w:r>
      <w:r w:rsidRPr="000D03B4">
        <w:rPr>
          <w:sz w:val="24"/>
        </w:rPr>
        <w:t>2012</w:t>
      </w:r>
      <w:r w:rsidRPr="000D03B4">
        <w:rPr>
          <w:sz w:val="24"/>
        </w:rPr>
        <w:t>〕</w:t>
      </w:r>
      <w:proofErr w:type="gramEnd"/>
      <w:r w:rsidRPr="000D03B4">
        <w:rPr>
          <w:sz w:val="24"/>
        </w:rPr>
        <w:t>15</w:t>
      </w:r>
      <w:r w:rsidR="00921EE0" w:rsidRPr="000D03B4">
        <w:rPr>
          <w:sz w:val="24"/>
        </w:rPr>
        <w:t>号），这三类国有资产交易行为在涉及国有产权变动中均应</w:t>
      </w:r>
      <w:r w:rsidRPr="000D03B4">
        <w:rPr>
          <w:sz w:val="24"/>
        </w:rPr>
        <w:t>进行资产评估。</w:t>
      </w:r>
    </w:p>
    <w:p w14:paraId="4F47F179" w14:textId="2F08F0A5" w:rsidR="00506AE0" w:rsidRPr="000D03B4" w:rsidRDefault="009F7A3A" w:rsidP="009B4991">
      <w:pPr>
        <w:adjustRightInd w:val="0"/>
        <w:snapToGrid w:val="0"/>
        <w:spacing w:line="276" w:lineRule="auto"/>
        <w:ind w:firstLineChars="200" w:firstLine="480"/>
        <w:rPr>
          <w:sz w:val="24"/>
        </w:rPr>
      </w:pPr>
      <w:bookmarkStart w:id="95" w:name="_Toc4603565"/>
      <w:bookmarkStart w:id="96" w:name="_Toc4784792"/>
      <w:bookmarkStart w:id="97" w:name="_Toc10395372"/>
      <w:r w:rsidRPr="000D03B4">
        <w:rPr>
          <w:sz w:val="24"/>
        </w:rPr>
        <w:t>2.</w:t>
      </w:r>
      <w:r w:rsidR="00122127" w:rsidRPr="000D03B4">
        <w:rPr>
          <w:sz w:val="24"/>
        </w:rPr>
        <w:t>文件依据</w:t>
      </w:r>
      <w:bookmarkEnd w:id="95"/>
      <w:bookmarkEnd w:id="96"/>
      <w:bookmarkEnd w:id="97"/>
    </w:p>
    <w:p w14:paraId="2F34EB71" w14:textId="40067C8D" w:rsidR="000151A7" w:rsidRPr="000D03B4" w:rsidRDefault="00916BE6" w:rsidP="008C6143">
      <w:pPr>
        <w:adjustRightInd w:val="0"/>
        <w:snapToGrid w:val="0"/>
        <w:spacing w:line="276" w:lineRule="auto"/>
        <w:ind w:firstLineChars="200" w:firstLine="480"/>
        <w:jc w:val="left"/>
        <w:rPr>
          <w:sz w:val="24"/>
        </w:rPr>
      </w:pPr>
      <w:r w:rsidRPr="000D03B4">
        <w:rPr>
          <w:sz w:val="24"/>
        </w:rPr>
        <w:t>（</w:t>
      </w:r>
      <w:r w:rsidRPr="000D03B4">
        <w:rPr>
          <w:sz w:val="24"/>
        </w:rPr>
        <w:t>1</w:t>
      </w:r>
      <w:r w:rsidRPr="000D03B4">
        <w:rPr>
          <w:sz w:val="24"/>
        </w:rPr>
        <w:t>）</w:t>
      </w:r>
      <w:r w:rsidR="000151A7" w:rsidRPr="000D03B4">
        <w:rPr>
          <w:sz w:val="24"/>
        </w:rPr>
        <w:t>《中央文化企业国有资产评估管理暂行办法》（</w:t>
      </w:r>
      <w:proofErr w:type="gramStart"/>
      <w:r w:rsidR="000151A7" w:rsidRPr="000D03B4">
        <w:rPr>
          <w:sz w:val="24"/>
        </w:rPr>
        <w:t>财文资〔</w:t>
      </w:r>
      <w:r w:rsidR="000151A7" w:rsidRPr="000D03B4">
        <w:rPr>
          <w:sz w:val="24"/>
        </w:rPr>
        <w:t>2012</w:t>
      </w:r>
      <w:r w:rsidR="000151A7" w:rsidRPr="000D03B4">
        <w:rPr>
          <w:sz w:val="24"/>
        </w:rPr>
        <w:t>〕</w:t>
      </w:r>
      <w:proofErr w:type="gramEnd"/>
      <w:r w:rsidR="000151A7" w:rsidRPr="000D03B4">
        <w:rPr>
          <w:sz w:val="24"/>
        </w:rPr>
        <w:t>15</w:t>
      </w:r>
      <w:r w:rsidR="000151A7" w:rsidRPr="000D03B4">
        <w:rPr>
          <w:sz w:val="24"/>
        </w:rPr>
        <w:t>号）</w:t>
      </w:r>
      <w:r w:rsidR="00C852FF" w:rsidRPr="000D03B4">
        <w:rPr>
          <w:sz w:val="24"/>
        </w:rPr>
        <w:t>;</w:t>
      </w:r>
    </w:p>
    <w:p w14:paraId="1607807B" w14:textId="5D222AD5" w:rsidR="00506AE0" w:rsidRPr="000D03B4" w:rsidRDefault="000151A7" w:rsidP="008C6143">
      <w:pPr>
        <w:adjustRightInd w:val="0"/>
        <w:snapToGrid w:val="0"/>
        <w:spacing w:line="276" w:lineRule="auto"/>
        <w:ind w:firstLineChars="200" w:firstLine="480"/>
        <w:jc w:val="left"/>
        <w:rPr>
          <w:sz w:val="24"/>
        </w:rPr>
      </w:pPr>
      <w:r w:rsidRPr="000D03B4">
        <w:rPr>
          <w:sz w:val="24"/>
        </w:rPr>
        <w:t>（</w:t>
      </w:r>
      <w:r w:rsidRPr="000D03B4">
        <w:rPr>
          <w:sz w:val="24"/>
        </w:rPr>
        <w:t>2</w:t>
      </w:r>
      <w:r w:rsidRPr="000D03B4">
        <w:rPr>
          <w:sz w:val="24"/>
        </w:rPr>
        <w:t>）</w:t>
      </w:r>
      <w:r w:rsidR="00122127" w:rsidRPr="000D03B4">
        <w:rPr>
          <w:sz w:val="24"/>
        </w:rPr>
        <w:t>《关于印发文化体制改革中经营性文化事业单位转制为企业和进一步支持文化企业发展两个规定的通知》</w:t>
      </w:r>
      <w:r w:rsidR="00365357" w:rsidRPr="000D03B4">
        <w:rPr>
          <w:sz w:val="24"/>
        </w:rPr>
        <w:t>（</w:t>
      </w:r>
      <w:r w:rsidR="00122127" w:rsidRPr="000D03B4">
        <w:rPr>
          <w:sz w:val="24"/>
        </w:rPr>
        <w:t>国办发〔</w:t>
      </w:r>
      <w:r w:rsidR="00122127" w:rsidRPr="000D03B4">
        <w:rPr>
          <w:sz w:val="24"/>
        </w:rPr>
        <w:t>2014</w:t>
      </w:r>
      <w:r w:rsidR="00122127" w:rsidRPr="000D03B4">
        <w:rPr>
          <w:sz w:val="24"/>
        </w:rPr>
        <w:t>〕</w:t>
      </w:r>
      <w:r w:rsidR="00122127" w:rsidRPr="000D03B4">
        <w:rPr>
          <w:sz w:val="24"/>
        </w:rPr>
        <w:t>15</w:t>
      </w:r>
      <w:r w:rsidR="00122127" w:rsidRPr="000D03B4">
        <w:rPr>
          <w:sz w:val="24"/>
        </w:rPr>
        <w:t>号</w:t>
      </w:r>
      <w:r w:rsidR="00365357" w:rsidRPr="000D03B4">
        <w:rPr>
          <w:sz w:val="24"/>
        </w:rPr>
        <w:t>）</w:t>
      </w:r>
      <w:r w:rsidR="00122127" w:rsidRPr="000D03B4">
        <w:rPr>
          <w:sz w:val="24"/>
        </w:rPr>
        <w:t>；</w:t>
      </w:r>
    </w:p>
    <w:p w14:paraId="38D8BA23" w14:textId="6A447896" w:rsidR="00506AE0" w:rsidRPr="000D03B4" w:rsidRDefault="00916BE6" w:rsidP="008C6143">
      <w:pPr>
        <w:adjustRightInd w:val="0"/>
        <w:snapToGrid w:val="0"/>
        <w:spacing w:line="276" w:lineRule="auto"/>
        <w:ind w:firstLineChars="200" w:firstLine="480"/>
        <w:jc w:val="left"/>
        <w:rPr>
          <w:sz w:val="24"/>
        </w:rPr>
      </w:pPr>
      <w:r w:rsidRPr="000D03B4">
        <w:rPr>
          <w:sz w:val="24"/>
        </w:rPr>
        <w:t>（</w:t>
      </w:r>
      <w:r w:rsidR="000151A7" w:rsidRPr="000D03B4">
        <w:rPr>
          <w:sz w:val="24"/>
        </w:rPr>
        <w:t>3</w:t>
      </w:r>
      <w:r w:rsidRPr="000D03B4">
        <w:rPr>
          <w:sz w:val="24"/>
        </w:rPr>
        <w:t>）</w:t>
      </w:r>
      <w:r w:rsidR="00122127" w:rsidRPr="000D03B4">
        <w:rPr>
          <w:sz w:val="24"/>
        </w:rPr>
        <w:t>《中央文化企业国有资产监督管理暂行办法》（中宣发〔</w:t>
      </w:r>
      <w:r w:rsidR="00122127" w:rsidRPr="000D03B4">
        <w:rPr>
          <w:sz w:val="24"/>
        </w:rPr>
        <w:t>2017</w:t>
      </w:r>
      <w:r w:rsidR="00122127" w:rsidRPr="000D03B4">
        <w:rPr>
          <w:sz w:val="24"/>
        </w:rPr>
        <w:t>〕</w:t>
      </w:r>
      <w:r w:rsidR="00122127" w:rsidRPr="000D03B4">
        <w:rPr>
          <w:sz w:val="24"/>
        </w:rPr>
        <w:t>3</w:t>
      </w:r>
      <w:r w:rsidR="00122127" w:rsidRPr="000D03B4">
        <w:rPr>
          <w:sz w:val="24"/>
        </w:rPr>
        <w:t>号）；</w:t>
      </w:r>
    </w:p>
    <w:p w14:paraId="6D69A72E" w14:textId="5FD2EF67" w:rsidR="00506AE0" w:rsidRPr="000D03B4" w:rsidRDefault="00916BE6" w:rsidP="008C6143">
      <w:pPr>
        <w:adjustRightInd w:val="0"/>
        <w:snapToGrid w:val="0"/>
        <w:spacing w:line="276" w:lineRule="auto"/>
        <w:ind w:firstLineChars="200" w:firstLine="480"/>
        <w:jc w:val="left"/>
        <w:rPr>
          <w:sz w:val="24"/>
        </w:rPr>
      </w:pPr>
      <w:r w:rsidRPr="000D03B4">
        <w:rPr>
          <w:sz w:val="24"/>
        </w:rPr>
        <w:t>（</w:t>
      </w:r>
      <w:r w:rsidR="000151A7" w:rsidRPr="000D03B4">
        <w:rPr>
          <w:sz w:val="24"/>
        </w:rPr>
        <w:t>4</w:t>
      </w:r>
      <w:r w:rsidRPr="000D03B4">
        <w:rPr>
          <w:sz w:val="24"/>
        </w:rPr>
        <w:t>）</w:t>
      </w:r>
      <w:r w:rsidR="00122127" w:rsidRPr="000D03B4">
        <w:rPr>
          <w:sz w:val="24"/>
        </w:rPr>
        <w:t>《关于中央文化企业公司制改制工作实施方案的通知》（财文〔</w:t>
      </w:r>
      <w:r w:rsidR="00122127" w:rsidRPr="000D03B4">
        <w:rPr>
          <w:sz w:val="24"/>
        </w:rPr>
        <w:t>2018</w:t>
      </w:r>
      <w:r w:rsidR="00122127" w:rsidRPr="000D03B4">
        <w:rPr>
          <w:sz w:val="24"/>
        </w:rPr>
        <w:t>〕</w:t>
      </w:r>
      <w:r w:rsidR="00122127" w:rsidRPr="000D03B4">
        <w:rPr>
          <w:sz w:val="24"/>
        </w:rPr>
        <w:t>6</w:t>
      </w:r>
      <w:r w:rsidR="00122127" w:rsidRPr="000D03B4">
        <w:rPr>
          <w:sz w:val="24"/>
        </w:rPr>
        <w:t>号）；</w:t>
      </w:r>
    </w:p>
    <w:p w14:paraId="093F8115" w14:textId="557C7A3D" w:rsidR="00506AE0" w:rsidRPr="000D03B4" w:rsidRDefault="00916BE6" w:rsidP="008C6143">
      <w:pPr>
        <w:adjustRightInd w:val="0"/>
        <w:snapToGrid w:val="0"/>
        <w:spacing w:line="276" w:lineRule="auto"/>
        <w:ind w:firstLineChars="200" w:firstLine="480"/>
        <w:jc w:val="left"/>
        <w:rPr>
          <w:sz w:val="24"/>
        </w:rPr>
      </w:pPr>
      <w:r w:rsidRPr="000D03B4">
        <w:rPr>
          <w:sz w:val="24"/>
        </w:rPr>
        <w:t>（</w:t>
      </w:r>
      <w:r w:rsidR="000151A7" w:rsidRPr="000D03B4">
        <w:rPr>
          <w:sz w:val="24"/>
        </w:rPr>
        <w:t>5</w:t>
      </w:r>
      <w:r w:rsidRPr="000D03B4">
        <w:rPr>
          <w:sz w:val="24"/>
        </w:rPr>
        <w:t>）</w:t>
      </w:r>
      <w:r w:rsidR="00122127" w:rsidRPr="000D03B4">
        <w:rPr>
          <w:sz w:val="24"/>
        </w:rPr>
        <w:t>《关于进一步规范中央文化企业国有资产交易管理的通知》（财文〔</w:t>
      </w:r>
      <w:r w:rsidR="00122127" w:rsidRPr="000D03B4">
        <w:rPr>
          <w:sz w:val="24"/>
        </w:rPr>
        <w:t>2017</w:t>
      </w:r>
      <w:r w:rsidR="00122127" w:rsidRPr="000D03B4">
        <w:rPr>
          <w:sz w:val="24"/>
        </w:rPr>
        <w:t>〕</w:t>
      </w:r>
      <w:r w:rsidR="00122127" w:rsidRPr="000D03B4">
        <w:rPr>
          <w:sz w:val="24"/>
        </w:rPr>
        <w:t>140</w:t>
      </w:r>
      <w:r w:rsidR="00122127" w:rsidRPr="000D03B4">
        <w:rPr>
          <w:sz w:val="24"/>
        </w:rPr>
        <w:t>号）</w:t>
      </w:r>
      <w:r w:rsidR="00A83F12" w:rsidRPr="000D03B4">
        <w:rPr>
          <w:rFonts w:hint="eastAsia"/>
          <w:sz w:val="24"/>
        </w:rPr>
        <w:t>等</w:t>
      </w:r>
      <w:r w:rsidR="00122127" w:rsidRPr="000D03B4">
        <w:rPr>
          <w:sz w:val="24"/>
        </w:rPr>
        <w:t>。</w:t>
      </w:r>
    </w:p>
    <w:p w14:paraId="6447AF5C" w14:textId="40110238" w:rsidR="00506AE0" w:rsidRPr="000D03B4" w:rsidRDefault="009F7A3A" w:rsidP="00C17103">
      <w:pPr>
        <w:adjustRightInd w:val="0"/>
        <w:snapToGrid w:val="0"/>
        <w:spacing w:line="276" w:lineRule="auto"/>
        <w:ind w:firstLineChars="200" w:firstLine="482"/>
        <w:rPr>
          <w:b/>
          <w:sz w:val="24"/>
        </w:rPr>
      </w:pPr>
      <w:bookmarkStart w:id="98" w:name="_Toc4784793"/>
      <w:bookmarkStart w:id="99" w:name="_Toc4603566"/>
      <w:bookmarkStart w:id="100" w:name="_Toc2778976"/>
      <w:bookmarkStart w:id="101" w:name="_Toc3385896"/>
      <w:bookmarkStart w:id="102" w:name="_Toc535836444"/>
      <w:bookmarkStart w:id="103" w:name="_Toc10395373"/>
      <w:r w:rsidRPr="000D03B4">
        <w:rPr>
          <w:b/>
          <w:sz w:val="24"/>
        </w:rPr>
        <w:t>（五）</w:t>
      </w:r>
      <w:bookmarkEnd w:id="98"/>
      <w:bookmarkEnd w:id="99"/>
      <w:bookmarkEnd w:id="100"/>
      <w:bookmarkEnd w:id="101"/>
      <w:bookmarkEnd w:id="102"/>
      <w:bookmarkEnd w:id="103"/>
      <w:r w:rsidR="00E9413F" w:rsidRPr="000D03B4">
        <w:rPr>
          <w:b/>
          <w:sz w:val="24"/>
        </w:rPr>
        <w:t>上市公司及非上市公众公司</w:t>
      </w:r>
      <w:r w:rsidR="00363DD5" w:rsidRPr="000D03B4">
        <w:rPr>
          <w:b/>
          <w:sz w:val="24"/>
        </w:rPr>
        <w:t>评估</w:t>
      </w:r>
      <w:r w:rsidR="0008247F" w:rsidRPr="000D03B4">
        <w:rPr>
          <w:b/>
          <w:sz w:val="24"/>
        </w:rPr>
        <w:t>类业务</w:t>
      </w:r>
      <w:r w:rsidR="00363DD5" w:rsidRPr="000D03B4">
        <w:rPr>
          <w:b/>
          <w:sz w:val="24"/>
        </w:rPr>
        <w:t>需求</w:t>
      </w:r>
    </w:p>
    <w:p w14:paraId="2AECC58A" w14:textId="77777777" w:rsidR="009F6F0A" w:rsidRPr="000D03B4" w:rsidRDefault="009F6F0A" w:rsidP="009B4991">
      <w:pPr>
        <w:adjustRightInd w:val="0"/>
        <w:snapToGrid w:val="0"/>
        <w:spacing w:line="276" w:lineRule="auto"/>
        <w:ind w:firstLineChars="200" w:firstLine="480"/>
        <w:rPr>
          <w:sz w:val="24"/>
        </w:rPr>
      </w:pPr>
      <w:r w:rsidRPr="000D03B4">
        <w:rPr>
          <w:sz w:val="24"/>
        </w:rPr>
        <w:t>1.</w:t>
      </w:r>
      <w:r w:rsidRPr="000D03B4">
        <w:rPr>
          <w:sz w:val="24"/>
        </w:rPr>
        <w:t>业务来源</w:t>
      </w:r>
    </w:p>
    <w:p w14:paraId="122D1617" w14:textId="7FFD90AF" w:rsidR="00FD26F2" w:rsidRPr="000D03B4" w:rsidRDefault="00595076" w:rsidP="00595076">
      <w:pPr>
        <w:adjustRightInd w:val="0"/>
        <w:snapToGrid w:val="0"/>
        <w:spacing w:line="276" w:lineRule="auto"/>
        <w:ind w:firstLineChars="200" w:firstLine="480"/>
        <w:rPr>
          <w:sz w:val="24"/>
        </w:rPr>
      </w:pPr>
      <w:r w:rsidRPr="000D03B4">
        <w:rPr>
          <w:rFonts w:hint="eastAsia"/>
          <w:sz w:val="24"/>
        </w:rPr>
        <w:t>上市公司触发评估类业务需求的经济行为主要包括资产重组、业务重组、发行股份购买资产、定向增发、退市评估、外国投资者对</w:t>
      </w:r>
      <w:r w:rsidRPr="000D03B4">
        <w:rPr>
          <w:rFonts w:hint="eastAsia"/>
          <w:sz w:val="24"/>
        </w:rPr>
        <w:t>A</w:t>
      </w:r>
      <w:r w:rsidRPr="000D03B4">
        <w:rPr>
          <w:rFonts w:hint="eastAsia"/>
          <w:sz w:val="24"/>
        </w:rPr>
        <w:t>股上市公司的战略投资等；非上市公众公司触发资产评估的经济行为主要包括重大资产重组和收购资产</w:t>
      </w:r>
      <w:r w:rsidR="00122127" w:rsidRPr="000D03B4">
        <w:rPr>
          <w:sz w:val="24"/>
        </w:rPr>
        <w:t>。</w:t>
      </w:r>
    </w:p>
    <w:p w14:paraId="60000A42" w14:textId="77777777" w:rsidR="009F6F0A" w:rsidRPr="000D03B4" w:rsidRDefault="009F6F0A" w:rsidP="009B4991">
      <w:pPr>
        <w:adjustRightInd w:val="0"/>
        <w:snapToGrid w:val="0"/>
        <w:spacing w:line="276" w:lineRule="auto"/>
        <w:ind w:firstLineChars="200" w:firstLine="480"/>
        <w:rPr>
          <w:sz w:val="24"/>
        </w:rPr>
      </w:pPr>
      <w:r w:rsidRPr="000D03B4">
        <w:rPr>
          <w:sz w:val="24"/>
        </w:rPr>
        <w:t>2.</w:t>
      </w:r>
      <w:r w:rsidRPr="000D03B4">
        <w:rPr>
          <w:sz w:val="24"/>
        </w:rPr>
        <w:t>文件依据</w:t>
      </w:r>
    </w:p>
    <w:p w14:paraId="0545AFE2" w14:textId="0A04806B" w:rsidR="00506AE0" w:rsidRPr="000D03B4" w:rsidRDefault="009F7A3A" w:rsidP="008C6143">
      <w:pPr>
        <w:adjustRightInd w:val="0"/>
        <w:snapToGrid w:val="0"/>
        <w:spacing w:line="276" w:lineRule="auto"/>
        <w:ind w:firstLineChars="200" w:firstLine="480"/>
        <w:jc w:val="left"/>
        <w:rPr>
          <w:sz w:val="24"/>
        </w:rPr>
      </w:pPr>
      <w:r w:rsidRPr="000D03B4">
        <w:rPr>
          <w:sz w:val="24"/>
        </w:rPr>
        <w:t>（</w:t>
      </w:r>
      <w:r w:rsidRPr="000D03B4">
        <w:rPr>
          <w:sz w:val="24"/>
        </w:rPr>
        <w:t>1</w:t>
      </w:r>
      <w:r w:rsidRPr="000D03B4">
        <w:rPr>
          <w:sz w:val="24"/>
        </w:rPr>
        <w:t>）</w:t>
      </w:r>
      <w:r w:rsidR="00122127" w:rsidRPr="000D03B4">
        <w:rPr>
          <w:sz w:val="24"/>
        </w:rPr>
        <w:t>《上市公司重大资产重组管理办法（</w:t>
      </w:r>
      <w:r w:rsidR="00122127" w:rsidRPr="000D03B4">
        <w:rPr>
          <w:sz w:val="24"/>
        </w:rPr>
        <w:t>2016</w:t>
      </w:r>
      <w:r w:rsidR="00122127" w:rsidRPr="000D03B4">
        <w:rPr>
          <w:sz w:val="24"/>
        </w:rPr>
        <w:t>年修订）》</w:t>
      </w:r>
      <w:r w:rsidR="009D0F77" w:rsidRPr="000D03B4">
        <w:rPr>
          <w:sz w:val="24"/>
        </w:rPr>
        <w:t>（证监会</w:t>
      </w:r>
      <w:r w:rsidR="006076AE" w:rsidRPr="000D03B4">
        <w:rPr>
          <w:sz w:val="24"/>
        </w:rPr>
        <w:t>令第</w:t>
      </w:r>
      <w:r w:rsidR="006076AE" w:rsidRPr="000D03B4">
        <w:rPr>
          <w:sz w:val="24"/>
        </w:rPr>
        <w:t>127</w:t>
      </w:r>
      <w:r w:rsidR="009D0F77" w:rsidRPr="000D03B4">
        <w:rPr>
          <w:sz w:val="24"/>
        </w:rPr>
        <w:t>号）</w:t>
      </w:r>
      <w:r w:rsidR="00122127" w:rsidRPr="000D03B4">
        <w:rPr>
          <w:sz w:val="24"/>
        </w:rPr>
        <w:t>；</w:t>
      </w:r>
    </w:p>
    <w:p w14:paraId="5D792088" w14:textId="75D0F392" w:rsidR="00506AE0" w:rsidRPr="000D03B4" w:rsidRDefault="009F7A3A" w:rsidP="008C6143">
      <w:pPr>
        <w:adjustRightInd w:val="0"/>
        <w:snapToGrid w:val="0"/>
        <w:spacing w:line="276" w:lineRule="auto"/>
        <w:ind w:firstLineChars="200" w:firstLine="480"/>
        <w:jc w:val="left"/>
        <w:rPr>
          <w:sz w:val="24"/>
        </w:rPr>
      </w:pPr>
      <w:r w:rsidRPr="000D03B4">
        <w:rPr>
          <w:sz w:val="24"/>
        </w:rPr>
        <w:t>（</w:t>
      </w:r>
      <w:r w:rsidRPr="000D03B4">
        <w:rPr>
          <w:sz w:val="24"/>
        </w:rPr>
        <w:t>2</w:t>
      </w:r>
      <w:r w:rsidRPr="000D03B4">
        <w:rPr>
          <w:sz w:val="24"/>
        </w:rPr>
        <w:t>）</w:t>
      </w:r>
      <w:r w:rsidR="00B37412" w:rsidRPr="000D03B4">
        <w:rPr>
          <w:sz w:val="24"/>
        </w:rPr>
        <w:t>《公开发行证券的公司信息披露内容与格式准则第</w:t>
      </w:r>
      <w:r w:rsidR="00B37412" w:rsidRPr="000D03B4">
        <w:rPr>
          <w:sz w:val="24"/>
        </w:rPr>
        <w:t>26</w:t>
      </w:r>
      <w:r w:rsidR="00B37412" w:rsidRPr="000D03B4">
        <w:rPr>
          <w:sz w:val="24"/>
        </w:rPr>
        <w:t>号</w:t>
      </w:r>
      <w:r w:rsidR="00B37412" w:rsidRPr="000D03B4">
        <w:rPr>
          <w:sz w:val="24"/>
        </w:rPr>
        <w:t>——</w:t>
      </w:r>
      <w:r w:rsidR="00B37412" w:rsidRPr="000D03B4">
        <w:rPr>
          <w:sz w:val="24"/>
        </w:rPr>
        <w:t>上市公司重大资产重组（</w:t>
      </w:r>
      <w:r w:rsidR="00B37412" w:rsidRPr="000D03B4">
        <w:rPr>
          <w:sz w:val="24"/>
        </w:rPr>
        <w:t>2018</w:t>
      </w:r>
      <w:r w:rsidR="00B37412" w:rsidRPr="000D03B4">
        <w:rPr>
          <w:sz w:val="24"/>
        </w:rPr>
        <w:t>年修订）》</w:t>
      </w:r>
      <w:r w:rsidR="00463018" w:rsidRPr="000D03B4">
        <w:rPr>
          <w:sz w:val="24"/>
        </w:rPr>
        <w:t>（</w:t>
      </w:r>
      <w:r w:rsidR="001E59E5" w:rsidRPr="000D03B4">
        <w:rPr>
          <w:sz w:val="24"/>
        </w:rPr>
        <w:t>证监会公告</w:t>
      </w:r>
      <w:r w:rsidR="00B37412" w:rsidRPr="000D03B4">
        <w:rPr>
          <w:sz w:val="24"/>
        </w:rPr>
        <w:t>〔</w:t>
      </w:r>
      <w:r w:rsidR="00B37412" w:rsidRPr="000D03B4">
        <w:rPr>
          <w:sz w:val="24"/>
        </w:rPr>
        <w:t>2018</w:t>
      </w:r>
      <w:r w:rsidR="00B37412" w:rsidRPr="000D03B4">
        <w:rPr>
          <w:sz w:val="24"/>
        </w:rPr>
        <w:t>〕</w:t>
      </w:r>
      <w:r w:rsidR="00B37412" w:rsidRPr="000D03B4">
        <w:rPr>
          <w:sz w:val="24"/>
        </w:rPr>
        <w:t>36</w:t>
      </w:r>
      <w:r w:rsidR="00B37412" w:rsidRPr="000D03B4">
        <w:rPr>
          <w:sz w:val="24"/>
        </w:rPr>
        <w:t>号</w:t>
      </w:r>
      <w:r w:rsidR="00ED25BE" w:rsidRPr="000D03B4">
        <w:rPr>
          <w:sz w:val="24"/>
        </w:rPr>
        <w:t>）</w:t>
      </w:r>
      <w:r w:rsidR="00122127" w:rsidRPr="000D03B4">
        <w:rPr>
          <w:sz w:val="24"/>
        </w:rPr>
        <w:t>；</w:t>
      </w:r>
    </w:p>
    <w:p w14:paraId="6F1E8474" w14:textId="1775D11D" w:rsidR="00C16B37" w:rsidRPr="000D03B4" w:rsidRDefault="00C16B37" w:rsidP="008C6143">
      <w:pPr>
        <w:adjustRightInd w:val="0"/>
        <w:snapToGrid w:val="0"/>
        <w:spacing w:line="276" w:lineRule="auto"/>
        <w:ind w:firstLineChars="200" w:firstLine="480"/>
        <w:jc w:val="left"/>
        <w:rPr>
          <w:sz w:val="24"/>
        </w:rPr>
      </w:pPr>
      <w:r w:rsidRPr="000D03B4">
        <w:rPr>
          <w:sz w:val="24"/>
        </w:rPr>
        <w:t>（</w:t>
      </w:r>
      <w:r w:rsidRPr="000D03B4">
        <w:rPr>
          <w:sz w:val="24"/>
        </w:rPr>
        <w:t>3</w:t>
      </w:r>
      <w:r w:rsidRPr="000D03B4">
        <w:rPr>
          <w:sz w:val="24"/>
        </w:rPr>
        <w:t>）《上市公司收购管理办法》（</w:t>
      </w:r>
      <w:r w:rsidR="004F6276" w:rsidRPr="000D03B4">
        <w:rPr>
          <w:sz w:val="24"/>
        </w:rPr>
        <w:t>证监会</w:t>
      </w:r>
      <w:r w:rsidRPr="000D03B4">
        <w:rPr>
          <w:sz w:val="24"/>
        </w:rPr>
        <w:t>令第</w:t>
      </w:r>
      <w:r w:rsidRPr="000D03B4">
        <w:rPr>
          <w:sz w:val="24"/>
        </w:rPr>
        <w:t>108</w:t>
      </w:r>
      <w:r w:rsidRPr="000D03B4">
        <w:rPr>
          <w:sz w:val="24"/>
        </w:rPr>
        <w:t>号）；</w:t>
      </w:r>
    </w:p>
    <w:p w14:paraId="158532FC" w14:textId="00CC4291" w:rsidR="00506AE0" w:rsidRPr="000D03B4" w:rsidRDefault="009F7A3A" w:rsidP="008C6143">
      <w:pPr>
        <w:adjustRightInd w:val="0"/>
        <w:snapToGrid w:val="0"/>
        <w:spacing w:line="276" w:lineRule="auto"/>
        <w:ind w:firstLineChars="200" w:firstLine="480"/>
        <w:jc w:val="left"/>
        <w:rPr>
          <w:sz w:val="24"/>
        </w:rPr>
      </w:pPr>
      <w:r w:rsidRPr="000D03B4">
        <w:rPr>
          <w:sz w:val="24"/>
        </w:rPr>
        <w:t>（</w:t>
      </w:r>
      <w:r w:rsidRPr="000D03B4">
        <w:rPr>
          <w:sz w:val="24"/>
        </w:rPr>
        <w:t>4</w:t>
      </w:r>
      <w:r w:rsidRPr="000D03B4">
        <w:rPr>
          <w:sz w:val="24"/>
        </w:rPr>
        <w:t>）</w:t>
      </w:r>
      <w:r w:rsidR="00122127" w:rsidRPr="000D03B4">
        <w:rPr>
          <w:sz w:val="24"/>
        </w:rPr>
        <w:t>《非上市公众公司重大资产重组管理办法》</w:t>
      </w:r>
      <w:r w:rsidR="00365357" w:rsidRPr="000D03B4">
        <w:rPr>
          <w:sz w:val="24"/>
        </w:rPr>
        <w:t>（</w:t>
      </w:r>
      <w:r w:rsidR="009D0F77" w:rsidRPr="000D03B4">
        <w:rPr>
          <w:sz w:val="24"/>
        </w:rPr>
        <w:t>证监会令</w:t>
      </w:r>
      <w:r w:rsidR="008061F4" w:rsidRPr="000D03B4">
        <w:rPr>
          <w:sz w:val="24"/>
        </w:rPr>
        <w:t>第</w:t>
      </w:r>
      <w:r w:rsidR="008061F4" w:rsidRPr="000D03B4">
        <w:rPr>
          <w:sz w:val="24"/>
        </w:rPr>
        <w:t>10</w:t>
      </w:r>
      <w:r w:rsidR="000B1B52" w:rsidRPr="000D03B4">
        <w:rPr>
          <w:sz w:val="24"/>
        </w:rPr>
        <w:t>3</w:t>
      </w:r>
      <w:r w:rsidR="008061F4" w:rsidRPr="000D03B4">
        <w:rPr>
          <w:sz w:val="24"/>
        </w:rPr>
        <w:t>号</w:t>
      </w:r>
      <w:r w:rsidR="00122127" w:rsidRPr="000D03B4">
        <w:rPr>
          <w:sz w:val="24"/>
        </w:rPr>
        <w:t>）；</w:t>
      </w:r>
    </w:p>
    <w:p w14:paraId="5FA2D22B" w14:textId="0E06385B" w:rsidR="00166FC1" w:rsidRPr="000D03B4" w:rsidRDefault="009F7A3A" w:rsidP="008C6143">
      <w:pPr>
        <w:adjustRightInd w:val="0"/>
        <w:snapToGrid w:val="0"/>
        <w:spacing w:line="276" w:lineRule="auto"/>
        <w:ind w:firstLineChars="200" w:firstLine="480"/>
        <w:jc w:val="left"/>
        <w:rPr>
          <w:sz w:val="24"/>
        </w:rPr>
      </w:pPr>
      <w:r w:rsidRPr="000D03B4">
        <w:rPr>
          <w:sz w:val="24"/>
        </w:rPr>
        <w:t>（</w:t>
      </w:r>
      <w:r w:rsidRPr="000D03B4">
        <w:rPr>
          <w:sz w:val="24"/>
        </w:rPr>
        <w:t>5</w:t>
      </w:r>
      <w:r w:rsidRPr="000D03B4">
        <w:rPr>
          <w:sz w:val="24"/>
        </w:rPr>
        <w:t>）</w:t>
      </w:r>
      <w:r w:rsidR="00122127" w:rsidRPr="000D03B4">
        <w:rPr>
          <w:sz w:val="24"/>
        </w:rPr>
        <w:t>《非上市公众公司收购管理办法》（</w:t>
      </w:r>
      <w:r w:rsidR="009C5A40" w:rsidRPr="000D03B4">
        <w:rPr>
          <w:sz w:val="24"/>
        </w:rPr>
        <w:t>证监会</w:t>
      </w:r>
      <w:r w:rsidR="00122127" w:rsidRPr="000D03B4">
        <w:rPr>
          <w:sz w:val="24"/>
        </w:rPr>
        <w:t>令第</w:t>
      </w:r>
      <w:r w:rsidR="00122127" w:rsidRPr="000D03B4">
        <w:rPr>
          <w:sz w:val="24"/>
        </w:rPr>
        <w:t>102</w:t>
      </w:r>
      <w:r w:rsidR="00122127" w:rsidRPr="000D03B4">
        <w:rPr>
          <w:sz w:val="24"/>
        </w:rPr>
        <w:t>号）</w:t>
      </w:r>
      <w:r w:rsidR="00FD26F2" w:rsidRPr="000D03B4">
        <w:rPr>
          <w:sz w:val="24"/>
        </w:rPr>
        <w:t>；</w:t>
      </w:r>
    </w:p>
    <w:p w14:paraId="499105FE" w14:textId="1DE3F33E" w:rsidR="00FD26F2" w:rsidRPr="000D03B4" w:rsidRDefault="00FD26F2" w:rsidP="008C6143">
      <w:pPr>
        <w:adjustRightInd w:val="0"/>
        <w:snapToGrid w:val="0"/>
        <w:spacing w:line="276" w:lineRule="auto"/>
        <w:ind w:firstLineChars="200" w:firstLine="480"/>
        <w:jc w:val="left"/>
        <w:rPr>
          <w:sz w:val="24"/>
        </w:rPr>
      </w:pPr>
      <w:r w:rsidRPr="000D03B4">
        <w:rPr>
          <w:sz w:val="24"/>
        </w:rPr>
        <w:t>（</w:t>
      </w:r>
      <w:r w:rsidRPr="000D03B4">
        <w:rPr>
          <w:sz w:val="24"/>
        </w:rPr>
        <w:t>6</w:t>
      </w:r>
      <w:r w:rsidRPr="000D03B4">
        <w:rPr>
          <w:sz w:val="24"/>
        </w:rPr>
        <w:t>）《外国投资者对上市公司战略投资管理办法》（商务部、中国证券监督管理委员会、国家税务总局、国家工商行政管理总局、国家外汇管理局令第</w:t>
      </w:r>
      <w:r w:rsidRPr="000D03B4">
        <w:rPr>
          <w:sz w:val="24"/>
        </w:rPr>
        <w:t>28</w:t>
      </w:r>
      <w:r w:rsidRPr="000D03B4">
        <w:rPr>
          <w:sz w:val="24"/>
        </w:rPr>
        <w:t>号</w:t>
      </w:r>
      <w:r w:rsidRPr="000D03B4">
        <w:rPr>
          <w:sz w:val="24"/>
        </w:rPr>
        <w:t xml:space="preserve"> </w:t>
      </w:r>
      <w:r w:rsidRPr="000D03B4">
        <w:rPr>
          <w:sz w:val="24"/>
        </w:rPr>
        <w:t>根据商务部令</w:t>
      </w:r>
      <w:r w:rsidRPr="000D03B4">
        <w:rPr>
          <w:sz w:val="24"/>
        </w:rPr>
        <w:t>2015</w:t>
      </w:r>
      <w:r w:rsidRPr="000D03B4">
        <w:rPr>
          <w:sz w:val="24"/>
        </w:rPr>
        <w:t>年第</w:t>
      </w:r>
      <w:r w:rsidRPr="000D03B4">
        <w:rPr>
          <w:sz w:val="24"/>
        </w:rPr>
        <w:t>2</w:t>
      </w:r>
      <w:r w:rsidRPr="000D03B4">
        <w:rPr>
          <w:sz w:val="24"/>
        </w:rPr>
        <w:t>号《商务部关于修改部分规章和规范性文件的决定》修正）</w:t>
      </w:r>
      <w:r w:rsidR="001F0DD0" w:rsidRPr="000D03B4">
        <w:rPr>
          <w:sz w:val="24"/>
        </w:rPr>
        <w:t>等</w:t>
      </w:r>
      <w:r w:rsidRPr="000D03B4">
        <w:rPr>
          <w:sz w:val="24"/>
        </w:rPr>
        <w:t>。</w:t>
      </w:r>
    </w:p>
    <w:p w14:paraId="20E2BAAC" w14:textId="2F549C7F" w:rsidR="00E447C7" w:rsidRPr="000D03B4" w:rsidRDefault="009F7A3A" w:rsidP="00C17103">
      <w:pPr>
        <w:adjustRightInd w:val="0"/>
        <w:snapToGrid w:val="0"/>
        <w:spacing w:line="276" w:lineRule="auto"/>
        <w:ind w:firstLineChars="200" w:firstLine="482"/>
        <w:rPr>
          <w:b/>
          <w:sz w:val="24"/>
        </w:rPr>
      </w:pPr>
      <w:bookmarkStart w:id="104" w:name="_Toc4784804"/>
      <w:bookmarkStart w:id="105" w:name="_Toc3385901"/>
      <w:bookmarkStart w:id="106" w:name="_Toc535836449"/>
      <w:bookmarkStart w:id="107" w:name="_Toc4603577"/>
      <w:bookmarkStart w:id="108" w:name="_Toc2778981"/>
      <w:bookmarkStart w:id="109" w:name="_Toc10395374"/>
      <w:r w:rsidRPr="000D03B4">
        <w:rPr>
          <w:b/>
          <w:sz w:val="24"/>
        </w:rPr>
        <w:t>（六）</w:t>
      </w:r>
      <w:r w:rsidR="00E447C7" w:rsidRPr="000D03B4">
        <w:rPr>
          <w:b/>
          <w:sz w:val="24"/>
        </w:rPr>
        <w:t>行政事业单位评估</w:t>
      </w:r>
      <w:r w:rsidR="0008247F" w:rsidRPr="000D03B4">
        <w:rPr>
          <w:b/>
          <w:sz w:val="24"/>
        </w:rPr>
        <w:t>类业务</w:t>
      </w:r>
      <w:r w:rsidR="00E447C7" w:rsidRPr="000D03B4">
        <w:rPr>
          <w:b/>
          <w:sz w:val="24"/>
        </w:rPr>
        <w:t>需求</w:t>
      </w:r>
      <w:bookmarkEnd w:id="104"/>
      <w:bookmarkEnd w:id="105"/>
      <w:bookmarkEnd w:id="106"/>
      <w:bookmarkEnd w:id="107"/>
      <w:bookmarkEnd w:id="108"/>
      <w:bookmarkEnd w:id="109"/>
    </w:p>
    <w:p w14:paraId="2B467938" w14:textId="3222E014" w:rsidR="00E447C7" w:rsidRPr="000D03B4" w:rsidRDefault="009F7A3A" w:rsidP="009B4991">
      <w:pPr>
        <w:adjustRightInd w:val="0"/>
        <w:snapToGrid w:val="0"/>
        <w:spacing w:line="276" w:lineRule="auto"/>
        <w:ind w:firstLineChars="200" w:firstLine="480"/>
        <w:rPr>
          <w:sz w:val="24"/>
        </w:rPr>
      </w:pPr>
      <w:bookmarkStart w:id="110" w:name="_Toc4784805"/>
      <w:bookmarkStart w:id="111" w:name="_Toc4603578"/>
      <w:bookmarkStart w:id="112" w:name="_Toc10395375"/>
      <w:r w:rsidRPr="000D03B4">
        <w:rPr>
          <w:sz w:val="24"/>
        </w:rPr>
        <w:t>1.</w:t>
      </w:r>
      <w:r w:rsidR="00E447C7" w:rsidRPr="000D03B4">
        <w:rPr>
          <w:sz w:val="24"/>
        </w:rPr>
        <w:t>业务来源</w:t>
      </w:r>
      <w:bookmarkEnd w:id="110"/>
      <w:bookmarkEnd w:id="111"/>
      <w:bookmarkEnd w:id="112"/>
    </w:p>
    <w:p w14:paraId="49A5276B" w14:textId="4AACAB09" w:rsidR="00E447C7" w:rsidRPr="000D03B4" w:rsidRDefault="00A83F12" w:rsidP="00A83F12">
      <w:pPr>
        <w:adjustRightInd w:val="0"/>
        <w:snapToGrid w:val="0"/>
        <w:spacing w:line="276" w:lineRule="auto"/>
        <w:ind w:firstLineChars="200" w:firstLine="480"/>
        <w:rPr>
          <w:sz w:val="24"/>
        </w:rPr>
      </w:pPr>
      <w:r w:rsidRPr="000D03B4">
        <w:rPr>
          <w:rFonts w:hint="eastAsia"/>
          <w:sz w:val="24"/>
        </w:rPr>
        <w:t>2017</w:t>
      </w:r>
      <w:r w:rsidRPr="000D03B4">
        <w:rPr>
          <w:rFonts w:hint="eastAsia"/>
          <w:sz w:val="24"/>
        </w:rPr>
        <w:t>年财政部发布《关于从事生产经营活动事业单位改革中国有资产管理的若干规定》（财资〔</w:t>
      </w:r>
      <w:r w:rsidRPr="000D03B4">
        <w:rPr>
          <w:rFonts w:hint="eastAsia"/>
          <w:sz w:val="24"/>
        </w:rPr>
        <w:t>2017</w:t>
      </w:r>
      <w:r w:rsidRPr="000D03B4">
        <w:rPr>
          <w:rFonts w:hint="eastAsia"/>
          <w:sz w:val="24"/>
        </w:rPr>
        <w:t>〕</w:t>
      </w:r>
      <w:r w:rsidRPr="000D03B4">
        <w:rPr>
          <w:rFonts w:hint="eastAsia"/>
          <w:sz w:val="24"/>
        </w:rPr>
        <w:t>13</w:t>
      </w:r>
      <w:r w:rsidRPr="000D03B4">
        <w:rPr>
          <w:rFonts w:hint="eastAsia"/>
          <w:sz w:val="24"/>
        </w:rPr>
        <w:t>号），对从事生产经营活动事业单位改革中国有资产管理进行了规范，行政事业单位触发评估类业务需求的经济行为主要包括：</w:t>
      </w:r>
    </w:p>
    <w:p w14:paraId="5FE6180C" w14:textId="50E7ADEE" w:rsidR="00E447C7" w:rsidRPr="000D03B4" w:rsidRDefault="00091B27" w:rsidP="009B4991">
      <w:pPr>
        <w:adjustRightInd w:val="0"/>
        <w:snapToGrid w:val="0"/>
        <w:spacing w:line="276" w:lineRule="auto"/>
        <w:ind w:firstLineChars="200" w:firstLine="480"/>
        <w:rPr>
          <w:sz w:val="24"/>
        </w:rPr>
      </w:pPr>
      <w:r w:rsidRPr="000D03B4">
        <w:rPr>
          <w:sz w:val="24"/>
        </w:rPr>
        <w:lastRenderedPageBreak/>
        <w:t>（</w:t>
      </w:r>
      <w:r w:rsidRPr="000D03B4">
        <w:rPr>
          <w:sz w:val="24"/>
        </w:rPr>
        <w:t>1</w:t>
      </w:r>
      <w:r w:rsidRPr="000D03B4">
        <w:rPr>
          <w:sz w:val="24"/>
        </w:rPr>
        <w:t>）</w:t>
      </w:r>
      <w:r w:rsidR="00E447C7" w:rsidRPr="000D03B4">
        <w:rPr>
          <w:sz w:val="24"/>
        </w:rPr>
        <w:t>资产清查；</w:t>
      </w:r>
    </w:p>
    <w:p w14:paraId="19357EF2" w14:textId="6AFA9A9A" w:rsidR="00E447C7" w:rsidRPr="000D03B4" w:rsidRDefault="00091B27" w:rsidP="009B4991">
      <w:pPr>
        <w:adjustRightInd w:val="0"/>
        <w:snapToGrid w:val="0"/>
        <w:spacing w:line="276" w:lineRule="auto"/>
        <w:ind w:firstLineChars="200" w:firstLine="480"/>
        <w:rPr>
          <w:sz w:val="24"/>
        </w:rPr>
      </w:pPr>
      <w:r w:rsidRPr="000D03B4">
        <w:rPr>
          <w:sz w:val="24"/>
        </w:rPr>
        <w:t>（</w:t>
      </w:r>
      <w:r w:rsidRPr="000D03B4">
        <w:rPr>
          <w:sz w:val="24"/>
        </w:rPr>
        <w:t>2</w:t>
      </w:r>
      <w:r w:rsidRPr="000D03B4">
        <w:rPr>
          <w:sz w:val="24"/>
        </w:rPr>
        <w:t>）</w:t>
      </w:r>
      <w:r w:rsidR="00E447C7" w:rsidRPr="000D03B4">
        <w:rPr>
          <w:sz w:val="24"/>
        </w:rPr>
        <w:t>经营类事业单位整体或部分改制为有限责任公司或者股份有限公司及进行产权转让、国有资产流转等；</w:t>
      </w:r>
    </w:p>
    <w:p w14:paraId="3453C3AF" w14:textId="018D011A" w:rsidR="00E447C7" w:rsidRPr="000D03B4" w:rsidRDefault="00091B27" w:rsidP="009B4991">
      <w:pPr>
        <w:adjustRightInd w:val="0"/>
        <w:snapToGrid w:val="0"/>
        <w:spacing w:line="276" w:lineRule="auto"/>
        <w:ind w:firstLineChars="200" w:firstLine="480"/>
        <w:rPr>
          <w:sz w:val="24"/>
        </w:rPr>
      </w:pPr>
      <w:r w:rsidRPr="000D03B4">
        <w:rPr>
          <w:sz w:val="24"/>
        </w:rPr>
        <w:t>（</w:t>
      </w:r>
      <w:r w:rsidRPr="000D03B4">
        <w:rPr>
          <w:sz w:val="24"/>
        </w:rPr>
        <w:t>3</w:t>
      </w:r>
      <w:r w:rsidRPr="000D03B4">
        <w:rPr>
          <w:sz w:val="24"/>
        </w:rPr>
        <w:t>）</w:t>
      </w:r>
      <w:r w:rsidR="00E447C7" w:rsidRPr="000D03B4">
        <w:rPr>
          <w:sz w:val="24"/>
        </w:rPr>
        <w:t>经营类事业单位国有资产出售等经济行为中，应进行资产评估，其中涉及改制行为的，资产评估结果在转制单位内部公示，经主管部门审核后，报财政部门核准或备案。</w:t>
      </w:r>
    </w:p>
    <w:p w14:paraId="0C86EC24" w14:textId="05587F98" w:rsidR="00E447C7" w:rsidRPr="000D03B4" w:rsidRDefault="009F7A3A" w:rsidP="009B4991">
      <w:pPr>
        <w:adjustRightInd w:val="0"/>
        <w:snapToGrid w:val="0"/>
        <w:spacing w:line="276" w:lineRule="auto"/>
        <w:ind w:firstLineChars="200" w:firstLine="480"/>
        <w:rPr>
          <w:sz w:val="24"/>
        </w:rPr>
      </w:pPr>
      <w:bookmarkStart w:id="113" w:name="_Toc4603579"/>
      <w:bookmarkStart w:id="114" w:name="_Toc4784806"/>
      <w:bookmarkStart w:id="115" w:name="_Toc10395376"/>
      <w:r w:rsidRPr="000D03B4">
        <w:rPr>
          <w:sz w:val="24"/>
        </w:rPr>
        <w:t>2.</w:t>
      </w:r>
      <w:r w:rsidR="00E447C7" w:rsidRPr="000D03B4">
        <w:rPr>
          <w:sz w:val="24"/>
        </w:rPr>
        <w:t>文件依据</w:t>
      </w:r>
      <w:bookmarkEnd w:id="113"/>
      <w:bookmarkEnd w:id="114"/>
      <w:bookmarkEnd w:id="115"/>
    </w:p>
    <w:p w14:paraId="1DB2E1FB" w14:textId="013193FA" w:rsidR="00166FC1" w:rsidRPr="000D03B4" w:rsidRDefault="00E447C7" w:rsidP="00C42B5D">
      <w:pPr>
        <w:adjustRightInd w:val="0"/>
        <w:snapToGrid w:val="0"/>
        <w:spacing w:line="276" w:lineRule="auto"/>
        <w:ind w:firstLineChars="200" w:firstLine="480"/>
        <w:rPr>
          <w:sz w:val="24"/>
        </w:rPr>
      </w:pPr>
      <w:r w:rsidRPr="000D03B4">
        <w:rPr>
          <w:sz w:val="24"/>
        </w:rPr>
        <w:t>《关于从事生产经营活动事业单位改革中国有资产管理的若干规定》（财资〔</w:t>
      </w:r>
      <w:r w:rsidRPr="000D03B4">
        <w:rPr>
          <w:sz w:val="24"/>
        </w:rPr>
        <w:t>2017</w:t>
      </w:r>
      <w:r w:rsidRPr="000D03B4">
        <w:rPr>
          <w:sz w:val="24"/>
        </w:rPr>
        <w:t>〕</w:t>
      </w:r>
      <w:r w:rsidRPr="000D03B4">
        <w:rPr>
          <w:sz w:val="24"/>
        </w:rPr>
        <w:t>13</w:t>
      </w:r>
      <w:r w:rsidRPr="000D03B4">
        <w:rPr>
          <w:sz w:val="24"/>
        </w:rPr>
        <w:t>号）</w:t>
      </w:r>
      <w:r w:rsidR="00CF63FE">
        <w:rPr>
          <w:rFonts w:hint="eastAsia"/>
          <w:sz w:val="24"/>
        </w:rPr>
        <w:t>等</w:t>
      </w:r>
      <w:r w:rsidRPr="000D03B4">
        <w:rPr>
          <w:sz w:val="24"/>
        </w:rPr>
        <w:t>。</w:t>
      </w:r>
    </w:p>
    <w:p w14:paraId="25B0F49C" w14:textId="34A9DB0B" w:rsidR="00E447C7" w:rsidRPr="000D03B4" w:rsidRDefault="009F7A3A" w:rsidP="00C17103">
      <w:pPr>
        <w:adjustRightInd w:val="0"/>
        <w:snapToGrid w:val="0"/>
        <w:spacing w:line="276" w:lineRule="auto"/>
        <w:ind w:firstLineChars="200" w:firstLine="482"/>
        <w:rPr>
          <w:b/>
          <w:sz w:val="24"/>
        </w:rPr>
      </w:pPr>
      <w:bookmarkStart w:id="116" w:name="_Toc10395385"/>
      <w:r w:rsidRPr="000D03B4">
        <w:rPr>
          <w:b/>
          <w:sz w:val="24"/>
        </w:rPr>
        <w:t>（</w:t>
      </w:r>
      <w:r w:rsidR="00F4275A" w:rsidRPr="000D03B4">
        <w:rPr>
          <w:b/>
          <w:sz w:val="24"/>
        </w:rPr>
        <w:t>七</w:t>
      </w:r>
      <w:r w:rsidRPr="000D03B4">
        <w:rPr>
          <w:b/>
          <w:sz w:val="24"/>
        </w:rPr>
        <w:t>）</w:t>
      </w:r>
      <w:r w:rsidR="0008247F" w:rsidRPr="000D03B4">
        <w:rPr>
          <w:b/>
          <w:sz w:val="24"/>
        </w:rPr>
        <w:t>企业</w:t>
      </w:r>
      <w:r w:rsidR="00455E31" w:rsidRPr="000D03B4">
        <w:rPr>
          <w:b/>
          <w:sz w:val="24"/>
        </w:rPr>
        <w:t>评估</w:t>
      </w:r>
      <w:r w:rsidR="0008247F" w:rsidRPr="000D03B4">
        <w:rPr>
          <w:b/>
          <w:sz w:val="24"/>
        </w:rPr>
        <w:t>类业务</w:t>
      </w:r>
      <w:r w:rsidR="00455E31" w:rsidRPr="000D03B4">
        <w:rPr>
          <w:b/>
          <w:sz w:val="24"/>
        </w:rPr>
        <w:t>需求</w:t>
      </w:r>
      <w:bookmarkEnd w:id="116"/>
    </w:p>
    <w:p w14:paraId="44B58E69" w14:textId="27B5110A" w:rsidR="00522AC2" w:rsidRPr="000D03B4" w:rsidRDefault="00091B27" w:rsidP="009B4991">
      <w:pPr>
        <w:adjustRightInd w:val="0"/>
        <w:snapToGrid w:val="0"/>
        <w:spacing w:line="276" w:lineRule="auto"/>
        <w:ind w:firstLineChars="200" w:firstLine="480"/>
        <w:rPr>
          <w:sz w:val="24"/>
        </w:rPr>
      </w:pPr>
      <w:bookmarkStart w:id="117" w:name="_Toc10395386"/>
      <w:r w:rsidRPr="000D03B4">
        <w:rPr>
          <w:sz w:val="24"/>
        </w:rPr>
        <w:t>1.</w:t>
      </w:r>
      <w:r w:rsidR="00522AC2" w:rsidRPr="000D03B4">
        <w:rPr>
          <w:sz w:val="24"/>
        </w:rPr>
        <w:t>业务来源</w:t>
      </w:r>
      <w:bookmarkEnd w:id="117"/>
    </w:p>
    <w:p w14:paraId="79FD8E4A" w14:textId="5279791C" w:rsidR="00A15D05" w:rsidRPr="000D03B4" w:rsidRDefault="00AC08CF" w:rsidP="00A83F12">
      <w:pPr>
        <w:adjustRightInd w:val="0"/>
        <w:snapToGrid w:val="0"/>
        <w:spacing w:line="276" w:lineRule="auto"/>
        <w:ind w:firstLineChars="200" w:firstLine="480"/>
        <w:rPr>
          <w:sz w:val="24"/>
        </w:rPr>
      </w:pPr>
      <w:proofErr w:type="gramStart"/>
      <w:r>
        <w:rPr>
          <w:rFonts w:hint="eastAsia"/>
          <w:sz w:val="24"/>
        </w:rPr>
        <w:t>此处</w:t>
      </w:r>
      <w:r w:rsidR="00A83F12" w:rsidRPr="000D03B4">
        <w:rPr>
          <w:rFonts w:hint="eastAsia"/>
          <w:sz w:val="24"/>
        </w:rPr>
        <w:t>企业</w:t>
      </w:r>
      <w:proofErr w:type="gramEnd"/>
      <w:r w:rsidR="00A83F12" w:rsidRPr="000D03B4">
        <w:rPr>
          <w:rFonts w:hint="eastAsia"/>
          <w:sz w:val="24"/>
        </w:rPr>
        <w:t>触发评估类业务需求的经济行为主要</w:t>
      </w:r>
      <w:bookmarkStart w:id="118" w:name="_GoBack"/>
      <w:bookmarkEnd w:id="118"/>
      <w:r w:rsidR="00A83F12" w:rsidRPr="000D03B4">
        <w:rPr>
          <w:rFonts w:hint="eastAsia"/>
          <w:sz w:val="24"/>
        </w:rPr>
        <w:t>与会计核算相关，包括商誉减值测试、其他资产或资产组减值测试、非货币性资产公允价值评估、金融工具公允价值评估、基金估值、合并对价分摊评估等。其他还包括金融企业抵押物管理及评估和外国投资者对境内企业并购资产评估，这主要与企业的管理、并购等需求相关</w:t>
      </w:r>
      <w:r w:rsidR="00A15D05" w:rsidRPr="000D03B4">
        <w:rPr>
          <w:sz w:val="24"/>
        </w:rPr>
        <w:t>。</w:t>
      </w:r>
    </w:p>
    <w:p w14:paraId="596C7961" w14:textId="17889C2F" w:rsidR="00522AC2" w:rsidRPr="000D03B4" w:rsidRDefault="00091B27" w:rsidP="009B4991">
      <w:pPr>
        <w:adjustRightInd w:val="0"/>
        <w:snapToGrid w:val="0"/>
        <w:spacing w:line="276" w:lineRule="auto"/>
        <w:ind w:firstLineChars="200" w:firstLine="480"/>
        <w:rPr>
          <w:sz w:val="24"/>
        </w:rPr>
      </w:pPr>
      <w:bookmarkStart w:id="119" w:name="_Toc10395387"/>
      <w:r w:rsidRPr="000D03B4">
        <w:rPr>
          <w:sz w:val="24"/>
        </w:rPr>
        <w:t>2.</w:t>
      </w:r>
      <w:r w:rsidR="00522AC2" w:rsidRPr="000D03B4">
        <w:rPr>
          <w:sz w:val="24"/>
        </w:rPr>
        <w:t>文件依据</w:t>
      </w:r>
      <w:bookmarkEnd w:id="119"/>
    </w:p>
    <w:p w14:paraId="2FF2AAF6" w14:textId="7BDD2273" w:rsidR="00C5481F" w:rsidRPr="000D03B4" w:rsidRDefault="00373252" w:rsidP="008C6143">
      <w:pPr>
        <w:adjustRightInd w:val="0"/>
        <w:snapToGrid w:val="0"/>
        <w:spacing w:line="276" w:lineRule="auto"/>
        <w:ind w:firstLineChars="200" w:firstLine="480"/>
        <w:jc w:val="left"/>
        <w:rPr>
          <w:sz w:val="24"/>
        </w:rPr>
      </w:pPr>
      <w:r w:rsidRPr="000D03B4">
        <w:rPr>
          <w:sz w:val="24"/>
        </w:rPr>
        <w:t>（</w:t>
      </w:r>
      <w:r w:rsidRPr="000D03B4">
        <w:rPr>
          <w:sz w:val="24"/>
        </w:rPr>
        <w:t>1</w:t>
      </w:r>
      <w:r w:rsidRPr="000D03B4">
        <w:rPr>
          <w:sz w:val="24"/>
        </w:rPr>
        <w:t>）</w:t>
      </w:r>
      <w:r w:rsidR="00522AC2" w:rsidRPr="000D03B4">
        <w:rPr>
          <w:sz w:val="24"/>
        </w:rPr>
        <w:t>《企业会计准则第</w:t>
      </w:r>
      <w:r w:rsidR="00522AC2" w:rsidRPr="000D03B4">
        <w:rPr>
          <w:sz w:val="24"/>
        </w:rPr>
        <w:t>8</w:t>
      </w:r>
      <w:r w:rsidR="00522AC2" w:rsidRPr="000D03B4">
        <w:rPr>
          <w:sz w:val="24"/>
        </w:rPr>
        <w:t>号</w:t>
      </w:r>
      <w:r w:rsidR="00522AC2" w:rsidRPr="000D03B4">
        <w:rPr>
          <w:sz w:val="24"/>
        </w:rPr>
        <w:t>——</w:t>
      </w:r>
      <w:r w:rsidR="00522AC2" w:rsidRPr="000D03B4">
        <w:rPr>
          <w:sz w:val="24"/>
        </w:rPr>
        <w:t>资产减值》</w:t>
      </w:r>
      <w:r w:rsidR="00A52DEB" w:rsidRPr="000D03B4">
        <w:rPr>
          <w:sz w:val="24"/>
        </w:rPr>
        <w:t>（财会〔</w:t>
      </w:r>
      <w:r w:rsidR="00A52DEB" w:rsidRPr="000D03B4">
        <w:rPr>
          <w:sz w:val="24"/>
        </w:rPr>
        <w:t>2006</w:t>
      </w:r>
      <w:r w:rsidR="00A52DEB" w:rsidRPr="000D03B4">
        <w:rPr>
          <w:sz w:val="24"/>
        </w:rPr>
        <w:t>〕</w:t>
      </w:r>
      <w:r w:rsidR="00A52DEB" w:rsidRPr="000D03B4">
        <w:rPr>
          <w:sz w:val="24"/>
        </w:rPr>
        <w:t>3</w:t>
      </w:r>
      <w:r w:rsidR="00A52DEB" w:rsidRPr="000D03B4">
        <w:rPr>
          <w:sz w:val="24"/>
        </w:rPr>
        <w:t>号）</w:t>
      </w:r>
      <w:r w:rsidR="00522AC2" w:rsidRPr="000D03B4">
        <w:rPr>
          <w:sz w:val="24"/>
        </w:rPr>
        <w:t>；</w:t>
      </w:r>
    </w:p>
    <w:p w14:paraId="0FC9E7CA" w14:textId="1DFFB516" w:rsidR="007D2388" w:rsidRPr="000D03B4" w:rsidRDefault="007D2388" w:rsidP="008C6143">
      <w:pPr>
        <w:adjustRightInd w:val="0"/>
        <w:snapToGrid w:val="0"/>
        <w:spacing w:line="276" w:lineRule="auto"/>
        <w:ind w:firstLineChars="200" w:firstLine="480"/>
        <w:jc w:val="left"/>
        <w:rPr>
          <w:sz w:val="24"/>
        </w:rPr>
      </w:pPr>
      <w:r w:rsidRPr="000D03B4">
        <w:rPr>
          <w:sz w:val="24"/>
        </w:rPr>
        <w:t>（</w:t>
      </w:r>
      <w:r w:rsidRPr="000D03B4">
        <w:rPr>
          <w:sz w:val="24"/>
        </w:rPr>
        <w:t>2</w:t>
      </w:r>
      <w:r w:rsidRPr="000D03B4">
        <w:rPr>
          <w:sz w:val="24"/>
        </w:rPr>
        <w:t>）《会计监管风险提示第</w:t>
      </w:r>
      <w:r w:rsidRPr="000D03B4">
        <w:rPr>
          <w:sz w:val="24"/>
        </w:rPr>
        <w:t>8</w:t>
      </w:r>
      <w:r w:rsidRPr="000D03B4">
        <w:rPr>
          <w:sz w:val="24"/>
        </w:rPr>
        <w:t>号</w:t>
      </w:r>
      <w:r w:rsidRPr="000D03B4">
        <w:rPr>
          <w:sz w:val="24"/>
        </w:rPr>
        <w:t>——</w:t>
      </w:r>
      <w:r w:rsidRPr="000D03B4">
        <w:rPr>
          <w:sz w:val="24"/>
        </w:rPr>
        <w:t>商誉减值》（证监办发〔</w:t>
      </w:r>
      <w:r w:rsidRPr="000D03B4">
        <w:rPr>
          <w:sz w:val="24"/>
        </w:rPr>
        <w:t>2018</w:t>
      </w:r>
      <w:r w:rsidRPr="000D03B4">
        <w:rPr>
          <w:sz w:val="24"/>
        </w:rPr>
        <w:t>〕</w:t>
      </w:r>
      <w:r w:rsidRPr="000D03B4">
        <w:rPr>
          <w:sz w:val="24"/>
        </w:rPr>
        <w:t>92</w:t>
      </w:r>
      <w:r w:rsidRPr="000D03B4">
        <w:rPr>
          <w:sz w:val="24"/>
        </w:rPr>
        <w:t>号）；</w:t>
      </w:r>
    </w:p>
    <w:p w14:paraId="4909A5E9" w14:textId="32A43C74" w:rsidR="00522AC2" w:rsidRPr="000D03B4" w:rsidRDefault="00373252" w:rsidP="008C6143">
      <w:pPr>
        <w:adjustRightInd w:val="0"/>
        <w:snapToGrid w:val="0"/>
        <w:spacing w:line="276" w:lineRule="auto"/>
        <w:ind w:firstLineChars="200" w:firstLine="480"/>
        <w:jc w:val="left"/>
        <w:rPr>
          <w:sz w:val="24"/>
        </w:rPr>
      </w:pPr>
      <w:r w:rsidRPr="000D03B4">
        <w:rPr>
          <w:sz w:val="24"/>
        </w:rPr>
        <w:t>（</w:t>
      </w:r>
      <w:r w:rsidR="007D2388" w:rsidRPr="000D03B4">
        <w:rPr>
          <w:sz w:val="24"/>
        </w:rPr>
        <w:t>3</w:t>
      </w:r>
      <w:r w:rsidRPr="000D03B4">
        <w:rPr>
          <w:sz w:val="24"/>
        </w:rPr>
        <w:t>）</w:t>
      </w:r>
      <w:r w:rsidR="00522AC2" w:rsidRPr="000D03B4">
        <w:rPr>
          <w:sz w:val="24"/>
        </w:rPr>
        <w:t>《企业会计准则第</w:t>
      </w:r>
      <w:r w:rsidR="00522AC2" w:rsidRPr="000D03B4">
        <w:rPr>
          <w:sz w:val="24"/>
        </w:rPr>
        <w:t>7</w:t>
      </w:r>
      <w:r w:rsidR="00522AC2" w:rsidRPr="000D03B4">
        <w:rPr>
          <w:sz w:val="24"/>
        </w:rPr>
        <w:t>号</w:t>
      </w:r>
      <w:r w:rsidR="00522AC2" w:rsidRPr="000D03B4">
        <w:rPr>
          <w:sz w:val="24"/>
        </w:rPr>
        <w:t>——</w:t>
      </w:r>
      <w:r w:rsidR="00522AC2" w:rsidRPr="000D03B4">
        <w:rPr>
          <w:sz w:val="24"/>
        </w:rPr>
        <w:t>非货币性资产交换》</w:t>
      </w:r>
      <w:r w:rsidR="00A52DEB" w:rsidRPr="000D03B4">
        <w:rPr>
          <w:sz w:val="24"/>
        </w:rPr>
        <w:t>（财会〔</w:t>
      </w:r>
      <w:r w:rsidR="00A52DEB" w:rsidRPr="000D03B4">
        <w:rPr>
          <w:sz w:val="24"/>
        </w:rPr>
        <w:t>2006</w:t>
      </w:r>
      <w:r w:rsidR="00A52DEB" w:rsidRPr="000D03B4">
        <w:rPr>
          <w:sz w:val="24"/>
        </w:rPr>
        <w:t>〕</w:t>
      </w:r>
      <w:r w:rsidR="00A52DEB" w:rsidRPr="000D03B4">
        <w:rPr>
          <w:sz w:val="24"/>
        </w:rPr>
        <w:t>3</w:t>
      </w:r>
      <w:r w:rsidR="00A52DEB" w:rsidRPr="000D03B4">
        <w:rPr>
          <w:sz w:val="24"/>
        </w:rPr>
        <w:t>号）</w:t>
      </w:r>
      <w:r w:rsidR="00522AC2" w:rsidRPr="000D03B4">
        <w:rPr>
          <w:sz w:val="24"/>
        </w:rPr>
        <w:t>；</w:t>
      </w:r>
    </w:p>
    <w:p w14:paraId="6CAA6CC0" w14:textId="3951784E" w:rsidR="00C5481F" w:rsidRPr="000D03B4" w:rsidRDefault="00373252" w:rsidP="008C6143">
      <w:pPr>
        <w:adjustRightInd w:val="0"/>
        <w:snapToGrid w:val="0"/>
        <w:spacing w:line="276" w:lineRule="auto"/>
        <w:ind w:firstLineChars="200" w:firstLine="480"/>
        <w:jc w:val="left"/>
        <w:rPr>
          <w:sz w:val="24"/>
        </w:rPr>
      </w:pPr>
      <w:r w:rsidRPr="000D03B4">
        <w:rPr>
          <w:sz w:val="24"/>
        </w:rPr>
        <w:t>（</w:t>
      </w:r>
      <w:r w:rsidR="007D2388" w:rsidRPr="000D03B4">
        <w:rPr>
          <w:sz w:val="24"/>
        </w:rPr>
        <w:t>4</w:t>
      </w:r>
      <w:r w:rsidRPr="000D03B4">
        <w:rPr>
          <w:sz w:val="24"/>
        </w:rPr>
        <w:t>）</w:t>
      </w:r>
      <w:r w:rsidR="00522AC2" w:rsidRPr="000D03B4">
        <w:rPr>
          <w:sz w:val="24"/>
        </w:rPr>
        <w:t>《企业会计准则第</w:t>
      </w:r>
      <w:r w:rsidR="00522AC2" w:rsidRPr="000D03B4">
        <w:rPr>
          <w:sz w:val="24"/>
        </w:rPr>
        <w:t>22</w:t>
      </w:r>
      <w:r w:rsidR="00522AC2" w:rsidRPr="000D03B4">
        <w:rPr>
          <w:sz w:val="24"/>
        </w:rPr>
        <w:t>号</w:t>
      </w:r>
      <w:r w:rsidR="00522AC2" w:rsidRPr="000D03B4">
        <w:rPr>
          <w:sz w:val="24"/>
        </w:rPr>
        <w:t>——</w:t>
      </w:r>
      <w:r w:rsidR="00522AC2" w:rsidRPr="000D03B4">
        <w:rPr>
          <w:sz w:val="24"/>
        </w:rPr>
        <w:t>金融工具确认和计量》</w:t>
      </w:r>
      <w:r w:rsidR="00A52DEB" w:rsidRPr="000D03B4">
        <w:rPr>
          <w:sz w:val="24"/>
        </w:rPr>
        <w:t>（财会〔</w:t>
      </w:r>
      <w:r w:rsidR="00A52DEB" w:rsidRPr="000D03B4">
        <w:rPr>
          <w:sz w:val="24"/>
        </w:rPr>
        <w:t>2017</w:t>
      </w:r>
      <w:r w:rsidR="00A52DEB" w:rsidRPr="000D03B4">
        <w:rPr>
          <w:sz w:val="24"/>
        </w:rPr>
        <w:t>〕</w:t>
      </w:r>
      <w:r w:rsidR="00A52DEB" w:rsidRPr="000D03B4">
        <w:rPr>
          <w:sz w:val="24"/>
        </w:rPr>
        <w:t>7</w:t>
      </w:r>
      <w:r w:rsidR="00A52DEB" w:rsidRPr="000D03B4">
        <w:rPr>
          <w:sz w:val="24"/>
        </w:rPr>
        <w:t>号）</w:t>
      </w:r>
      <w:r w:rsidR="00522AC2" w:rsidRPr="000D03B4">
        <w:rPr>
          <w:sz w:val="24"/>
        </w:rPr>
        <w:t>；</w:t>
      </w:r>
    </w:p>
    <w:p w14:paraId="2BC088ED" w14:textId="7B3B1FE5" w:rsidR="00C5481F" w:rsidRPr="000D03B4" w:rsidRDefault="00373252" w:rsidP="008C6143">
      <w:pPr>
        <w:adjustRightInd w:val="0"/>
        <w:snapToGrid w:val="0"/>
        <w:spacing w:line="276" w:lineRule="auto"/>
        <w:ind w:firstLineChars="200" w:firstLine="480"/>
        <w:jc w:val="left"/>
        <w:rPr>
          <w:sz w:val="24"/>
        </w:rPr>
      </w:pPr>
      <w:r w:rsidRPr="000D03B4">
        <w:rPr>
          <w:sz w:val="24"/>
        </w:rPr>
        <w:t>（</w:t>
      </w:r>
      <w:r w:rsidR="007D2388" w:rsidRPr="000D03B4">
        <w:rPr>
          <w:sz w:val="24"/>
        </w:rPr>
        <w:t>5</w:t>
      </w:r>
      <w:r w:rsidRPr="000D03B4">
        <w:rPr>
          <w:sz w:val="24"/>
        </w:rPr>
        <w:t>）</w:t>
      </w:r>
      <w:r w:rsidR="008C6143" w:rsidRPr="000D03B4">
        <w:rPr>
          <w:sz w:val="24"/>
        </w:rPr>
        <w:t>《</w:t>
      </w:r>
      <w:r w:rsidR="00C5481F" w:rsidRPr="000D03B4">
        <w:rPr>
          <w:sz w:val="24"/>
        </w:rPr>
        <w:t>证券投资基金参与转融通证券出借业务会计核算和估值业务指引（试行）</w:t>
      </w:r>
      <w:r w:rsidR="008C6143" w:rsidRPr="000D03B4">
        <w:rPr>
          <w:sz w:val="24"/>
        </w:rPr>
        <w:t>》</w:t>
      </w:r>
      <w:r w:rsidR="00C5481F" w:rsidRPr="000D03B4">
        <w:rPr>
          <w:sz w:val="24"/>
        </w:rPr>
        <w:t>（</w:t>
      </w:r>
      <w:proofErr w:type="gramStart"/>
      <w:r w:rsidR="00C5481F" w:rsidRPr="000D03B4">
        <w:rPr>
          <w:sz w:val="24"/>
        </w:rPr>
        <w:t>中基协发</w:t>
      </w:r>
      <w:proofErr w:type="gramEnd"/>
      <w:r w:rsidR="00C5481F" w:rsidRPr="000D03B4">
        <w:rPr>
          <w:sz w:val="24"/>
        </w:rPr>
        <w:t>〔</w:t>
      </w:r>
      <w:r w:rsidR="00C5481F" w:rsidRPr="000D03B4">
        <w:rPr>
          <w:sz w:val="24"/>
        </w:rPr>
        <w:t>2019</w:t>
      </w:r>
      <w:r w:rsidR="00C5481F" w:rsidRPr="000D03B4">
        <w:rPr>
          <w:sz w:val="24"/>
        </w:rPr>
        <w:t>〕</w:t>
      </w:r>
      <w:r w:rsidR="00C5481F" w:rsidRPr="000D03B4">
        <w:rPr>
          <w:sz w:val="24"/>
        </w:rPr>
        <w:t>5</w:t>
      </w:r>
      <w:r w:rsidR="00C5481F" w:rsidRPr="000D03B4">
        <w:rPr>
          <w:sz w:val="24"/>
        </w:rPr>
        <w:t>号</w:t>
      </w:r>
      <w:r w:rsidR="00C5481F" w:rsidRPr="000D03B4">
        <w:rPr>
          <w:sz w:val="24"/>
        </w:rPr>
        <w:t xml:space="preserve"> </w:t>
      </w:r>
      <w:r w:rsidR="00C5481F" w:rsidRPr="000D03B4">
        <w:rPr>
          <w:sz w:val="24"/>
        </w:rPr>
        <w:t>）</w:t>
      </w:r>
      <w:r w:rsidR="007D2388" w:rsidRPr="000D03B4">
        <w:rPr>
          <w:sz w:val="24"/>
        </w:rPr>
        <w:t>；</w:t>
      </w:r>
    </w:p>
    <w:p w14:paraId="640945CA" w14:textId="2ADFC19D" w:rsidR="00C5481F" w:rsidRPr="000D03B4" w:rsidRDefault="00373252" w:rsidP="00105EDE">
      <w:pPr>
        <w:adjustRightInd w:val="0"/>
        <w:snapToGrid w:val="0"/>
        <w:spacing w:line="276" w:lineRule="auto"/>
        <w:ind w:firstLineChars="200" w:firstLine="480"/>
        <w:jc w:val="left"/>
        <w:rPr>
          <w:sz w:val="24"/>
        </w:rPr>
      </w:pPr>
      <w:r w:rsidRPr="000D03B4">
        <w:rPr>
          <w:sz w:val="24"/>
        </w:rPr>
        <w:t>（</w:t>
      </w:r>
      <w:r w:rsidR="007D2388" w:rsidRPr="000D03B4">
        <w:rPr>
          <w:sz w:val="24"/>
        </w:rPr>
        <w:t>6</w:t>
      </w:r>
      <w:r w:rsidRPr="000D03B4">
        <w:rPr>
          <w:sz w:val="24"/>
        </w:rPr>
        <w:t>）</w:t>
      </w:r>
      <w:r w:rsidR="00522AC2" w:rsidRPr="000D03B4">
        <w:rPr>
          <w:sz w:val="24"/>
        </w:rPr>
        <w:t>《证券投资基金参与同业存单会计核算和估值业务指引（试行）》（</w:t>
      </w:r>
      <w:proofErr w:type="gramStart"/>
      <w:r w:rsidR="00522AC2" w:rsidRPr="000D03B4">
        <w:rPr>
          <w:sz w:val="24"/>
        </w:rPr>
        <w:t>中基协发</w:t>
      </w:r>
      <w:proofErr w:type="gramEnd"/>
      <w:r w:rsidR="00522AC2" w:rsidRPr="000D03B4">
        <w:rPr>
          <w:sz w:val="24"/>
        </w:rPr>
        <w:t>〔</w:t>
      </w:r>
      <w:r w:rsidR="00522AC2" w:rsidRPr="000D03B4">
        <w:rPr>
          <w:sz w:val="24"/>
        </w:rPr>
        <w:t>2015</w:t>
      </w:r>
      <w:r w:rsidR="00522AC2" w:rsidRPr="000D03B4">
        <w:rPr>
          <w:sz w:val="24"/>
        </w:rPr>
        <w:t>〕</w:t>
      </w:r>
      <w:r w:rsidR="00522AC2" w:rsidRPr="000D03B4">
        <w:rPr>
          <w:sz w:val="24"/>
        </w:rPr>
        <w:t>12</w:t>
      </w:r>
      <w:r w:rsidR="00522AC2" w:rsidRPr="000D03B4">
        <w:rPr>
          <w:sz w:val="24"/>
        </w:rPr>
        <w:t>号）；</w:t>
      </w:r>
    </w:p>
    <w:p w14:paraId="2219B9A5" w14:textId="341956DB" w:rsidR="00C5481F" w:rsidRPr="000D03B4" w:rsidRDefault="00373252" w:rsidP="00105EDE">
      <w:pPr>
        <w:adjustRightInd w:val="0"/>
        <w:snapToGrid w:val="0"/>
        <w:spacing w:line="276" w:lineRule="auto"/>
        <w:ind w:firstLineChars="200" w:firstLine="480"/>
        <w:jc w:val="left"/>
        <w:rPr>
          <w:sz w:val="24"/>
        </w:rPr>
      </w:pPr>
      <w:r w:rsidRPr="000D03B4">
        <w:rPr>
          <w:sz w:val="24"/>
        </w:rPr>
        <w:t>（</w:t>
      </w:r>
      <w:r w:rsidR="007D2388" w:rsidRPr="000D03B4">
        <w:rPr>
          <w:sz w:val="24"/>
        </w:rPr>
        <w:t>7</w:t>
      </w:r>
      <w:r w:rsidRPr="000D03B4">
        <w:rPr>
          <w:sz w:val="24"/>
        </w:rPr>
        <w:t>）</w:t>
      </w:r>
      <w:r w:rsidR="00522AC2" w:rsidRPr="000D03B4">
        <w:rPr>
          <w:sz w:val="24"/>
        </w:rPr>
        <w:t>《证券投资基金港股通投资资金清算和会计核算估值业务指引（试行）》</w:t>
      </w:r>
      <w:r w:rsidR="00522AC2" w:rsidRPr="000D03B4">
        <w:rPr>
          <w:sz w:val="24"/>
        </w:rPr>
        <w:t xml:space="preserve"> </w:t>
      </w:r>
      <w:r w:rsidR="00522AC2" w:rsidRPr="000D03B4">
        <w:rPr>
          <w:sz w:val="24"/>
        </w:rPr>
        <w:t>（</w:t>
      </w:r>
      <w:proofErr w:type="gramStart"/>
      <w:r w:rsidR="00522AC2" w:rsidRPr="000D03B4">
        <w:rPr>
          <w:sz w:val="24"/>
        </w:rPr>
        <w:t>中基协发</w:t>
      </w:r>
      <w:proofErr w:type="gramEnd"/>
      <w:r w:rsidR="00522AC2" w:rsidRPr="000D03B4">
        <w:rPr>
          <w:sz w:val="24"/>
        </w:rPr>
        <w:t>（</w:t>
      </w:r>
      <w:r w:rsidR="00522AC2" w:rsidRPr="000D03B4">
        <w:rPr>
          <w:sz w:val="24"/>
        </w:rPr>
        <w:t>2015</w:t>
      </w:r>
      <w:r w:rsidR="00522AC2" w:rsidRPr="000D03B4">
        <w:rPr>
          <w:sz w:val="24"/>
        </w:rPr>
        <w:t>）</w:t>
      </w:r>
      <w:r w:rsidR="00522AC2" w:rsidRPr="000D03B4">
        <w:rPr>
          <w:sz w:val="24"/>
        </w:rPr>
        <w:t>17</w:t>
      </w:r>
      <w:r w:rsidR="00522AC2" w:rsidRPr="000D03B4">
        <w:rPr>
          <w:sz w:val="24"/>
        </w:rPr>
        <w:t>号）；</w:t>
      </w:r>
    </w:p>
    <w:p w14:paraId="53EAD8C6" w14:textId="05D9FDDD" w:rsidR="00C5481F" w:rsidRPr="000D03B4" w:rsidRDefault="00373252" w:rsidP="00105EDE">
      <w:pPr>
        <w:adjustRightInd w:val="0"/>
        <w:snapToGrid w:val="0"/>
        <w:spacing w:line="276" w:lineRule="auto"/>
        <w:ind w:firstLineChars="200" w:firstLine="480"/>
        <w:jc w:val="left"/>
        <w:rPr>
          <w:sz w:val="24"/>
        </w:rPr>
      </w:pPr>
      <w:r w:rsidRPr="000D03B4">
        <w:rPr>
          <w:sz w:val="24"/>
        </w:rPr>
        <w:t>（</w:t>
      </w:r>
      <w:r w:rsidR="007D2388" w:rsidRPr="000D03B4">
        <w:rPr>
          <w:sz w:val="24"/>
        </w:rPr>
        <w:t>8</w:t>
      </w:r>
      <w:r w:rsidRPr="000D03B4">
        <w:rPr>
          <w:sz w:val="24"/>
        </w:rPr>
        <w:t>）</w:t>
      </w:r>
      <w:r w:rsidR="00522AC2" w:rsidRPr="000D03B4">
        <w:rPr>
          <w:sz w:val="24"/>
        </w:rPr>
        <w:t>《基金中基金估值业务指引（试行）》；</w:t>
      </w:r>
    </w:p>
    <w:p w14:paraId="18526956" w14:textId="12DF7B5A" w:rsidR="00C5481F" w:rsidRPr="000D03B4" w:rsidRDefault="00373252" w:rsidP="00105EDE">
      <w:pPr>
        <w:adjustRightInd w:val="0"/>
        <w:snapToGrid w:val="0"/>
        <w:spacing w:line="276" w:lineRule="auto"/>
        <w:ind w:firstLineChars="200" w:firstLine="480"/>
        <w:jc w:val="left"/>
        <w:rPr>
          <w:sz w:val="24"/>
        </w:rPr>
      </w:pPr>
      <w:r w:rsidRPr="000D03B4">
        <w:rPr>
          <w:sz w:val="24"/>
        </w:rPr>
        <w:t>（</w:t>
      </w:r>
      <w:r w:rsidR="007D2388" w:rsidRPr="000D03B4">
        <w:rPr>
          <w:sz w:val="24"/>
        </w:rPr>
        <w:t>9</w:t>
      </w:r>
      <w:r w:rsidRPr="000D03B4">
        <w:rPr>
          <w:sz w:val="24"/>
        </w:rPr>
        <w:t>）</w:t>
      </w:r>
      <w:r w:rsidR="00522AC2" w:rsidRPr="000D03B4">
        <w:rPr>
          <w:sz w:val="24"/>
        </w:rPr>
        <w:t>《证券投资基金投资流通受限股票估值指引（试行）》（</w:t>
      </w:r>
      <w:proofErr w:type="gramStart"/>
      <w:r w:rsidR="00522AC2" w:rsidRPr="000D03B4">
        <w:rPr>
          <w:sz w:val="24"/>
        </w:rPr>
        <w:t>中基协发</w:t>
      </w:r>
      <w:proofErr w:type="gramEnd"/>
      <w:r w:rsidR="00522AC2" w:rsidRPr="000D03B4">
        <w:rPr>
          <w:sz w:val="24"/>
        </w:rPr>
        <w:t>〔</w:t>
      </w:r>
      <w:r w:rsidR="00522AC2" w:rsidRPr="000D03B4">
        <w:rPr>
          <w:sz w:val="24"/>
        </w:rPr>
        <w:t>2017</w:t>
      </w:r>
      <w:r w:rsidR="00522AC2" w:rsidRPr="000D03B4">
        <w:rPr>
          <w:sz w:val="24"/>
        </w:rPr>
        <w:t>〕</w:t>
      </w:r>
      <w:r w:rsidR="00522AC2" w:rsidRPr="000D03B4">
        <w:rPr>
          <w:sz w:val="24"/>
        </w:rPr>
        <w:t>6</w:t>
      </w:r>
      <w:r w:rsidR="00522AC2" w:rsidRPr="000D03B4">
        <w:rPr>
          <w:sz w:val="24"/>
        </w:rPr>
        <w:t>号）；</w:t>
      </w:r>
    </w:p>
    <w:p w14:paraId="78006E3E" w14:textId="5444CF38" w:rsidR="00C5481F" w:rsidRPr="000D03B4" w:rsidRDefault="00373252" w:rsidP="00105EDE">
      <w:pPr>
        <w:adjustRightInd w:val="0"/>
        <w:snapToGrid w:val="0"/>
        <w:spacing w:line="276" w:lineRule="auto"/>
        <w:ind w:firstLineChars="200" w:firstLine="480"/>
        <w:jc w:val="left"/>
        <w:rPr>
          <w:sz w:val="24"/>
        </w:rPr>
      </w:pPr>
      <w:r w:rsidRPr="000D03B4">
        <w:rPr>
          <w:sz w:val="24"/>
        </w:rPr>
        <w:t>（</w:t>
      </w:r>
      <w:r w:rsidR="007D2388" w:rsidRPr="000D03B4">
        <w:rPr>
          <w:sz w:val="24"/>
        </w:rPr>
        <w:t>10</w:t>
      </w:r>
      <w:r w:rsidRPr="000D03B4">
        <w:rPr>
          <w:sz w:val="24"/>
        </w:rPr>
        <w:t>）</w:t>
      </w:r>
      <w:r w:rsidR="00522AC2" w:rsidRPr="000D03B4">
        <w:rPr>
          <w:sz w:val="24"/>
        </w:rPr>
        <w:t>《私募投资基金非上市股权投资估值指引</w:t>
      </w:r>
      <w:r w:rsidR="00365357" w:rsidRPr="000D03B4">
        <w:rPr>
          <w:sz w:val="24"/>
        </w:rPr>
        <w:t>（</w:t>
      </w:r>
      <w:r w:rsidR="00522AC2" w:rsidRPr="000D03B4">
        <w:rPr>
          <w:sz w:val="24"/>
        </w:rPr>
        <w:t>试行</w:t>
      </w:r>
      <w:r w:rsidR="00365357" w:rsidRPr="000D03B4">
        <w:rPr>
          <w:sz w:val="24"/>
        </w:rPr>
        <w:t>）</w:t>
      </w:r>
      <w:r w:rsidR="00522AC2" w:rsidRPr="000D03B4">
        <w:rPr>
          <w:sz w:val="24"/>
        </w:rPr>
        <w:t>》（</w:t>
      </w:r>
      <w:proofErr w:type="gramStart"/>
      <w:r w:rsidR="00522AC2" w:rsidRPr="000D03B4">
        <w:rPr>
          <w:sz w:val="24"/>
        </w:rPr>
        <w:t>中基协发</w:t>
      </w:r>
      <w:proofErr w:type="gramEnd"/>
      <w:r w:rsidR="00522AC2" w:rsidRPr="000D03B4">
        <w:rPr>
          <w:sz w:val="24"/>
        </w:rPr>
        <w:t>〔</w:t>
      </w:r>
      <w:r w:rsidR="00522AC2" w:rsidRPr="000D03B4">
        <w:rPr>
          <w:sz w:val="24"/>
        </w:rPr>
        <w:t>2018</w:t>
      </w:r>
      <w:r w:rsidR="00522AC2" w:rsidRPr="000D03B4">
        <w:rPr>
          <w:sz w:val="24"/>
        </w:rPr>
        <w:t>〕</w:t>
      </w:r>
      <w:r w:rsidR="00522AC2" w:rsidRPr="000D03B4">
        <w:rPr>
          <w:sz w:val="24"/>
        </w:rPr>
        <w:t>1</w:t>
      </w:r>
      <w:r w:rsidR="00522AC2" w:rsidRPr="000D03B4">
        <w:rPr>
          <w:sz w:val="24"/>
        </w:rPr>
        <w:t>号）；</w:t>
      </w:r>
    </w:p>
    <w:p w14:paraId="1596D0E7" w14:textId="7FB976AD" w:rsidR="00A52DEB" w:rsidRPr="000D03B4" w:rsidRDefault="00373252" w:rsidP="00105EDE">
      <w:pPr>
        <w:adjustRightInd w:val="0"/>
        <w:snapToGrid w:val="0"/>
        <w:spacing w:line="276" w:lineRule="auto"/>
        <w:ind w:firstLineChars="200" w:firstLine="480"/>
        <w:jc w:val="left"/>
        <w:rPr>
          <w:sz w:val="24"/>
        </w:rPr>
      </w:pPr>
      <w:r w:rsidRPr="000D03B4">
        <w:rPr>
          <w:sz w:val="24"/>
        </w:rPr>
        <w:t>（</w:t>
      </w:r>
      <w:r w:rsidRPr="000D03B4">
        <w:rPr>
          <w:sz w:val="24"/>
        </w:rPr>
        <w:t>1</w:t>
      </w:r>
      <w:r w:rsidR="007D2388" w:rsidRPr="000D03B4">
        <w:rPr>
          <w:sz w:val="24"/>
        </w:rPr>
        <w:t>1</w:t>
      </w:r>
      <w:r w:rsidRPr="000D03B4">
        <w:rPr>
          <w:sz w:val="24"/>
        </w:rPr>
        <w:t>）</w:t>
      </w:r>
      <w:r w:rsidR="00522AC2" w:rsidRPr="000D03B4">
        <w:rPr>
          <w:sz w:val="24"/>
        </w:rPr>
        <w:t>《企业会计准则第</w:t>
      </w:r>
      <w:r w:rsidR="00522AC2" w:rsidRPr="000D03B4">
        <w:rPr>
          <w:sz w:val="24"/>
        </w:rPr>
        <w:t>20</w:t>
      </w:r>
      <w:r w:rsidR="00522AC2" w:rsidRPr="000D03B4">
        <w:rPr>
          <w:sz w:val="24"/>
        </w:rPr>
        <w:t>号</w:t>
      </w:r>
      <w:r w:rsidR="00522AC2" w:rsidRPr="000D03B4">
        <w:rPr>
          <w:sz w:val="24"/>
        </w:rPr>
        <w:t>——</w:t>
      </w:r>
      <w:r w:rsidR="00522AC2" w:rsidRPr="000D03B4">
        <w:rPr>
          <w:sz w:val="24"/>
        </w:rPr>
        <w:t>企业合并》</w:t>
      </w:r>
      <w:r w:rsidR="00A74AD0" w:rsidRPr="000D03B4">
        <w:rPr>
          <w:sz w:val="24"/>
        </w:rPr>
        <w:t>（（财会</w:t>
      </w:r>
      <w:r w:rsidR="002F69FA" w:rsidRPr="000D03B4">
        <w:rPr>
          <w:sz w:val="24"/>
        </w:rPr>
        <w:t>〔</w:t>
      </w:r>
      <w:r w:rsidR="00A74AD0" w:rsidRPr="000D03B4">
        <w:rPr>
          <w:sz w:val="24"/>
        </w:rPr>
        <w:t>2006</w:t>
      </w:r>
      <w:r w:rsidR="002F69FA" w:rsidRPr="000D03B4">
        <w:rPr>
          <w:sz w:val="24"/>
        </w:rPr>
        <w:t>〕</w:t>
      </w:r>
      <w:r w:rsidR="00A74AD0" w:rsidRPr="000D03B4">
        <w:rPr>
          <w:sz w:val="24"/>
        </w:rPr>
        <w:t>3</w:t>
      </w:r>
      <w:r w:rsidR="00A74AD0" w:rsidRPr="000D03B4">
        <w:rPr>
          <w:sz w:val="24"/>
        </w:rPr>
        <w:t>号））</w:t>
      </w:r>
      <w:r w:rsidR="00A52DEB" w:rsidRPr="000D03B4">
        <w:rPr>
          <w:sz w:val="24"/>
        </w:rPr>
        <w:t>；</w:t>
      </w:r>
    </w:p>
    <w:p w14:paraId="3739978E" w14:textId="7F97D7ED" w:rsidR="00A15D05" w:rsidRPr="000D03B4" w:rsidRDefault="00A15D05" w:rsidP="00105EDE">
      <w:pPr>
        <w:adjustRightInd w:val="0"/>
        <w:snapToGrid w:val="0"/>
        <w:spacing w:line="276" w:lineRule="auto"/>
        <w:ind w:firstLineChars="200" w:firstLine="480"/>
        <w:jc w:val="left"/>
        <w:rPr>
          <w:sz w:val="24"/>
        </w:rPr>
      </w:pPr>
      <w:r w:rsidRPr="000D03B4">
        <w:rPr>
          <w:sz w:val="24"/>
        </w:rPr>
        <w:t>（</w:t>
      </w:r>
      <w:r w:rsidRPr="000D03B4">
        <w:rPr>
          <w:sz w:val="24"/>
        </w:rPr>
        <w:t>1</w:t>
      </w:r>
      <w:r w:rsidR="001D4DFB" w:rsidRPr="000D03B4">
        <w:rPr>
          <w:sz w:val="24"/>
        </w:rPr>
        <w:t>2</w:t>
      </w:r>
      <w:r w:rsidRPr="000D03B4">
        <w:rPr>
          <w:sz w:val="24"/>
        </w:rPr>
        <w:t>）《外国投资者并购境内企业暂行规定》（商务部</w:t>
      </w:r>
      <w:r w:rsidRPr="000D03B4">
        <w:rPr>
          <w:sz w:val="24"/>
        </w:rPr>
        <w:t xml:space="preserve"> </w:t>
      </w:r>
      <w:r w:rsidRPr="000D03B4">
        <w:rPr>
          <w:sz w:val="24"/>
        </w:rPr>
        <w:t>国务院国有资产监督管理委员会</w:t>
      </w:r>
      <w:r w:rsidRPr="000D03B4">
        <w:rPr>
          <w:sz w:val="24"/>
        </w:rPr>
        <w:t xml:space="preserve"> </w:t>
      </w:r>
      <w:r w:rsidRPr="000D03B4">
        <w:rPr>
          <w:sz w:val="24"/>
        </w:rPr>
        <w:t>国家税务总局</w:t>
      </w:r>
      <w:r w:rsidRPr="000D03B4">
        <w:rPr>
          <w:sz w:val="24"/>
        </w:rPr>
        <w:t xml:space="preserve"> </w:t>
      </w:r>
      <w:r w:rsidRPr="000D03B4">
        <w:rPr>
          <w:sz w:val="24"/>
        </w:rPr>
        <w:t>国家工商行政管理总局</w:t>
      </w:r>
      <w:r w:rsidRPr="000D03B4">
        <w:rPr>
          <w:sz w:val="24"/>
        </w:rPr>
        <w:t xml:space="preserve"> </w:t>
      </w:r>
      <w:r w:rsidRPr="000D03B4">
        <w:rPr>
          <w:sz w:val="24"/>
        </w:rPr>
        <w:t>中国证券监督管理委员会</w:t>
      </w:r>
      <w:r w:rsidRPr="000D03B4">
        <w:rPr>
          <w:sz w:val="24"/>
        </w:rPr>
        <w:t xml:space="preserve"> </w:t>
      </w:r>
      <w:r w:rsidRPr="000D03B4">
        <w:rPr>
          <w:sz w:val="24"/>
        </w:rPr>
        <w:t>国家外汇管理局令</w:t>
      </w:r>
      <w:r w:rsidRPr="000D03B4">
        <w:rPr>
          <w:sz w:val="24"/>
        </w:rPr>
        <w:t>2006</w:t>
      </w:r>
      <w:r w:rsidRPr="000D03B4">
        <w:rPr>
          <w:sz w:val="24"/>
        </w:rPr>
        <w:t>年第</w:t>
      </w:r>
      <w:r w:rsidRPr="000D03B4">
        <w:rPr>
          <w:sz w:val="24"/>
        </w:rPr>
        <w:t>10</w:t>
      </w:r>
      <w:r w:rsidRPr="000D03B4">
        <w:rPr>
          <w:sz w:val="24"/>
        </w:rPr>
        <w:t>号</w:t>
      </w:r>
      <w:r w:rsidRPr="000D03B4">
        <w:rPr>
          <w:sz w:val="24"/>
        </w:rPr>
        <w:t xml:space="preserve"> </w:t>
      </w:r>
      <w:r w:rsidRPr="000D03B4">
        <w:rPr>
          <w:sz w:val="24"/>
        </w:rPr>
        <w:t>根据商务部令</w:t>
      </w:r>
      <w:r w:rsidRPr="000D03B4">
        <w:rPr>
          <w:sz w:val="24"/>
        </w:rPr>
        <w:t>2009</w:t>
      </w:r>
      <w:r w:rsidRPr="000D03B4">
        <w:rPr>
          <w:sz w:val="24"/>
        </w:rPr>
        <w:t>年第</w:t>
      </w:r>
      <w:r w:rsidRPr="000D03B4">
        <w:rPr>
          <w:sz w:val="24"/>
        </w:rPr>
        <w:t>6</w:t>
      </w:r>
      <w:r w:rsidRPr="000D03B4">
        <w:rPr>
          <w:sz w:val="24"/>
        </w:rPr>
        <w:t>号修订）；</w:t>
      </w:r>
    </w:p>
    <w:p w14:paraId="1A4ABF88" w14:textId="53EA3D41" w:rsidR="00A15D05" w:rsidRPr="000D03B4" w:rsidRDefault="00A15D05" w:rsidP="00105EDE">
      <w:pPr>
        <w:adjustRightInd w:val="0"/>
        <w:snapToGrid w:val="0"/>
        <w:spacing w:line="276" w:lineRule="auto"/>
        <w:ind w:firstLineChars="200" w:firstLine="480"/>
        <w:jc w:val="left"/>
        <w:rPr>
          <w:sz w:val="24"/>
        </w:rPr>
      </w:pPr>
      <w:r w:rsidRPr="000D03B4">
        <w:rPr>
          <w:sz w:val="24"/>
        </w:rPr>
        <w:t>（</w:t>
      </w:r>
      <w:r w:rsidRPr="000D03B4">
        <w:rPr>
          <w:sz w:val="24"/>
        </w:rPr>
        <w:t>1</w:t>
      </w:r>
      <w:r w:rsidR="001D4DFB" w:rsidRPr="000D03B4">
        <w:rPr>
          <w:sz w:val="24"/>
        </w:rPr>
        <w:t>3</w:t>
      </w:r>
      <w:r w:rsidRPr="000D03B4">
        <w:rPr>
          <w:sz w:val="24"/>
        </w:rPr>
        <w:t>）《关于外国投资者并购境内企业股权有关税收问题的通知》（国税发〔</w:t>
      </w:r>
      <w:r w:rsidRPr="000D03B4">
        <w:rPr>
          <w:sz w:val="24"/>
        </w:rPr>
        <w:t>2003</w:t>
      </w:r>
      <w:r w:rsidRPr="000D03B4">
        <w:rPr>
          <w:sz w:val="24"/>
        </w:rPr>
        <w:t>〕</w:t>
      </w:r>
      <w:r w:rsidRPr="000D03B4">
        <w:rPr>
          <w:sz w:val="24"/>
        </w:rPr>
        <w:t>60</w:t>
      </w:r>
      <w:r w:rsidRPr="000D03B4">
        <w:rPr>
          <w:sz w:val="24"/>
        </w:rPr>
        <w:t>号）</w:t>
      </w:r>
      <w:r w:rsidR="008806C8" w:rsidRPr="000D03B4">
        <w:rPr>
          <w:rFonts w:hint="eastAsia"/>
          <w:sz w:val="24"/>
        </w:rPr>
        <w:t>等</w:t>
      </w:r>
      <w:r w:rsidRPr="000D03B4">
        <w:rPr>
          <w:sz w:val="24"/>
        </w:rPr>
        <w:t>。</w:t>
      </w:r>
    </w:p>
    <w:p w14:paraId="5007E804" w14:textId="46804049" w:rsidR="00554238" w:rsidRPr="000D03B4" w:rsidRDefault="00F809AB" w:rsidP="00C17103">
      <w:pPr>
        <w:adjustRightInd w:val="0"/>
        <w:snapToGrid w:val="0"/>
        <w:spacing w:line="276" w:lineRule="auto"/>
        <w:ind w:firstLineChars="200" w:firstLine="482"/>
        <w:rPr>
          <w:b/>
          <w:sz w:val="24"/>
        </w:rPr>
      </w:pPr>
      <w:bookmarkStart w:id="120" w:name="_Toc10395389"/>
      <w:r w:rsidRPr="000D03B4">
        <w:rPr>
          <w:b/>
          <w:sz w:val="24"/>
        </w:rPr>
        <w:t>（</w:t>
      </w:r>
      <w:r w:rsidR="00797052" w:rsidRPr="000D03B4">
        <w:rPr>
          <w:b/>
          <w:sz w:val="24"/>
        </w:rPr>
        <w:t>八</w:t>
      </w:r>
      <w:r w:rsidRPr="000D03B4">
        <w:rPr>
          <w:b/>
          <w:sz w:val="24"/>
        </w:rPr>
        <w:t>）</w:t>
      </w:r>
      <w:r w:rsidR="00554238" w:rsidRPr="000D03B4">
        <w:rPr>
          <w:b/>
          <w:sz w:val="24"/>
        </w:rPr>
        <w:t>其他机构评估</w:t>
      </w:r>
      <w:r w:rsidR="006D333F" w:rsidRPr="000D03B4">
        <w:rPr>
          <w:b/>
          <w:sz w:val="24"/>
        </w:rPr>
        <w:t>类业务</w:t>
      </w:r>
      <w:r w:rsidR="00554238" w:rsidRPr="000D03B4">
        <w:rPr>
          <w:b/>
          <w:sz w:val="24"/>
        </w:rPr>
        <w:t>需求</w:t>
      </w:r>
      <w:bookmarkEnd w:id="120"/>
    </w:p>
    <w:p w14:paraId="1CC1E166" w14:textId="5BCC34CE" w:rsidR="00222395" w:rsidRPr="000D03B4" w:rsidRDefault="003A66B9" w:rsidP="003A66B9">
      <w:pPr>
        <w:adjustRightInd w:val="0"/>
        <w:snapToGrid w:val="0"/>
        <w:spacing w:line="276" w:lineRule="auto"/>
        <w:ind w:firstLineChars="200" w:firstLine="480"/>
        <w:rPr>
          <w:sz w:val="24"/>
        </w:rPr>
      </w:pPr>
      <w:r w:rsidRPr="000D03B4">
        <w:rPr>
          <w:rFonts w:hint="eastAsia"/>
          <w:sz w:val="24"/>
        </w:rPr>
        <w:lastRenderedPageBreak/>
        <w:t>其他机构触发评估类业务需求的经济行为主要包括生态环境评估业务、基于财政部门的</w:t>
      </w:r>
      <w:r w:rsidRPr="000D03B4">
        <w:rPr>
          <w:rFonts w:hint="eastAsia"/>
          <w:sz w:val="24"/>
        </w:rPr>
        <w:t>PPP</w:t>
      </w:r>
      <w:r w:rsidRPr="000D03B4">
        <w:rPr>
          <w:rFonts w:hint="eastAsia"/>
          <w:sz w:val="24"/>
        </w:rPr>
        <w:t>项目中的资产评估、基于司法部门的司法</w:t>
      </w:r>
      <w:proofErr w:type="gramStart"/>
      <w:r w:rsidRPr="000D03B4">
        <w:rPr>
          <w:rFonts w:hint="eastAsia"/>
          <w:sz w:val="24"/>
        </w:rPr>
        <w:t>鉴证</w:t>
      </w:r>
      <w:proofErr w:type="gramEnd"/>
      <w:r w:rsidRPr="000D03B4">
        <w:rPr>
          <w:rFonts w:hint="eastAsia"/>
          <w:sz w:val="24"/>
        </w:rPr>
        <w:t>评估以及国家中小企业发展基金价值评估</w:t>
      </w:r>
      <w:r w:rsidR="00F02F42">
        <w:rPr>
          <w:rFonts w:hint="eastAsia"/>
          <w:sz w:val="24"/>
        </w:rPr>
        <w:t>等</w:t>
      </w:r>
      <w:r w:rsidRPr="000D03B4">
        <w:rPr>
          <w:rFonts w:hint="eastAsia"/>
          <w:sz w:val="24"/>
        </w:rPr>
        <w:t>。</w:t>
      </w:r>
    </w:p>
    <w:p w14:paraId="448DA3CA" w14:textId="340699BD" w:rsidR="00554238" w:rsidRPr="000D03B4" w:rsidRDefault="00F809AB" w:rsidP="009B4991">
      <w:pPr>
        <w:adjustRightInd w:val="0"/>
        <w:snapToGrid w:val="0"/>
        <w:spacing w:line="276" w:lineRule="auto"/>
        <w:ind w:firstLineChars="200" w:firstLine="480"/>
        <w:rPr>
          <w:sz w:val="24"/>
        </w:rPr>
      </w:pPr>
      <w:bookmarkStart w:id="121" w:name="_Toc10395390"/>
      <w:r w:rsidRPr="000D03B4">
        <w:rPr>
          <w:sz w:val="24"/>
        </w:rPr>
        <w:t>1.</w:t>
      </w:r>
      <w:r w:rsidR="00554238" w:rsidRPr="000D03B4">
        <w:rPr>
          <w:sz w:val="24"/>
        </w:rPr>
        <w:t>业务来源</w:t>
      </w:r>
      <w:bookmarkEnd w:id="121"/>
    </w:p>
    <w:p w14:paraId="641F5899" w14:textId="43F69C07" w:rsidR="00554238" w:rsidRPr="000D03B4" w:rsidRDefault="008F4BD9" w:rsidP="009B4991">
      <w:pPr>
        <w:adjustRightInd w:val="0"/>
        <w:snapToGrid w:val="0"/>
        <w:spacing w:line="276" w:lineRule="auto"/>
        <w:ind w:firstLineChars="200" w:firstLine="480"/>
        <w:rPr>
          <w:sz w:val="24"/>
        </w:rPr>
      </w:pPr>
      <w:r w:rsidRPr="000D03B4">
        <w:rPr>
          <w:sz w:val="24"/>
        </w:rPr>
        <w:t>（</w:t>
      </w:r>
      <w:r w:rsidRPr="000D03B4">
        <w:rPr>
          <w:sz w:val="24"/>
        </w:rPr>
        <w:t>1</w:t>
      </w:r>
      <w:r w:rsidRPr="000D03B4">
        <w:rPr>
          <w:sz w:val="24"/>
        </w:rPr>
        <w:t>）</w:t>
      </w:r>
      <w:r w:rsidR="00554238" w:rsidRPr="000D03B4">
        <w:rPr>
          <w:sz w:val="24"/>
        </w:rPr>
        <w:t>生态环境评估</w:t>
      </w:r>
    </w:p>
    <w:p w14:paraId="50018D4D" w14:textId="58BCD432" w:rsidR="00554238" w:rsidRPr="000D03B4" w:rsidRDefault="00487946" w:rsidP="00487946">
      <w:pPr>
        <w:adjustRightInd w:val="0"/>
        <w:snapToGrid w:val="0"/>
        <w:spacing w:line="276" w:lineRule="auto"/>
        <w:ind w:firstLineChars="200" w:firstLine="480"/>
        <w:rPr>
          <w:sz w:val="24"/>
        </w:rPr>
      </w:pPr>
      <w:r w:rsidRPr="000D03B4">
        <w:rPr>
          <w:rFonts w:hint="eastAsia"/>
          <w:sz w:val="24"/>
        </w:rPr>
        <w:t>生态环境评估</w:t>
      </w:r>
      <w:proofErr w:type="gramStart"/>
      <w:r w:rsidRPr="000D03B4">
        <w:rPr>
          <w:rFonts w:hint="eastAsia"/>
          <w:sz w:val="24"/>
        </w:rPr>
        <w:t>包括碳排放权</w:t>
      </w:r>
      <w:proofErr w:type="gramEnd"/>
      <w:r w:rsidRPr="000D03B4">
        <w:rPr>
          <w:rFonts w:hint="eastAsia"/>
          <w:sz w:val="24"/>
        </w:rPr>
        <w:t>评估、生态补偿价值评估、环境损失评估和森林生态价值评估等</w:t>
      </w:r>
      <w:r w:rsidR="00554238" w:rsidRPr="000D03B4">
        <w:rPr>
          <w:sz w:val="24"/>
        </w:rPr>
        <w:t>。</w:t>
      </w:r>
    </w:p>
    <w:p w14:paraId="3A0CBCA7" w14:textId="5390EED2" w:rsidR="00554238" w:rsidRPr="000D03B4" w:rsidRDefault="008F4BD9" w:rsidP="009B4991">
      <w:pPr>
        <w:adjustRightInd w:val="0"/>
        <w:snapToGrid w:val="0"/>
        <w:spacing w:line="276" w:lineRule="auto"/>
        <w:ind w:firstLineChars="200" w:firstLine="480"/>
        <w:rPr>
          <w:sz w:val="24"/>
        </w:rPr>
      </w:pPr>
      <w:r w:rsidRPr="000D03B4">
        <w:rPr>
          <w:sz w:val="24"/>
        </w:rPr>
        <w:t>（</w:t>
      </w:r>
      <w:r w:rsidRPr="000D03B4">
        <w:rPr>
          <w:sz w:val="24"/>
        </w:rPr>
        <w:t>2</w:t>
      </w:r>
      <w:r w:rsidRPr="000D03B4">
        <w:rPr>
          <w:sz w:val="24"/>
        </w:rPr>
        <w:t>）</w:t>
      </w:r>
      <w:r w:rsidR="00554238" w:rsidRPr="000D03B4">
        <w:rPr>
          <w:sz w:val="24"/>
        </w:rPr>
        <w:t>PPP</w:t>
      </w:r>
      <w:r w:rsidR="00554238" w:rsidRPr="000D03B4">
        <w:rPr>
          <w:sz w:val="24"/>
        </w:rPr>
        <w:t>项目中的评估</w:t>
      </w:r>
    </w:p>
    <w:p w14:paraId="2807FBE7" w14:textId="0AEEB148" w:rsidR="00554238" w:rsidRPr="000D03B4" w:rsidRDefault="00554238" w:rsidP="009B4991">
      <w:pPr>
        <w:adjustRightInd w:val="0"/>
        <w:snapToGrid w:val="0"/>
        <w:spacing w:line="276" w:lineRule="auto"/>
        <w:ind w:firstLineChars="200" w:firstLine="480"/>
        <w:rPr>
          <w:sz w:val="24"/>
        </w:rPr>
      </w:pPr>
      <w:r w:rsidRPr="000D03B4">
        <w:rPr>
          <w:sz w:val="24"/>
        </w:rPr>
        <w:t>2013</w:t>
      </w:r>
      <w:r w:rsidRPr="000D03B4">
        <w:rPr>
          <w:sz w:val="24"/>
        </w:rPr>
        <w:t>年以来</w:t>
      </w:r>
      <w:r w:rsidR="000929D0" w:rsidRPr="000D03B4">
        <w:rPr>
          <w:sz w:val="24"/>
        </w:rPr>
        <w:t>，</w:t>
      </w:r>
      <w:r w:rsidRPr="000D03B4">
        <w:rPr>
          <w:sz w:val="24"/>
        </w:rPr>
        <w:t>财政部、国家发展改革委等部门陆续出台</w:t>
      </w:r>
      <w:r w:rsidR="004C30B8" w:rsidRPr="000D03B4">
        <w:rPr>
          <w:sz w:val="24"/>
        </w:rPr>
        <w:t>多个</w:t>
      </w:r>
      <w:r w:rsidRPr="000D03B4">
        <w:rPr>
          <w:sz w:val="24"/>
        </w:rPr>
        <w:t>关于</w:t>
      </w:r>
      <w:r w:rsidRPr="000D03B4">
        <w:rPr>
          <w:sz w:val="24"/>
        </w:rPr>
        <w:t>PPP</w:t>
      </w:r>
      <w:r w:rsidRPr="000D03B4">
        <w:rPr>
          <w:sz w:val="24"/>
        </w:rPr>
        <w:t>模式建设的文件，其中涉及资产评估的主要</w:t>
      </w:r>
      <w:r w:rsidR="00E5543D" w:rsidRPr="000D03B4">
        <w:rPr>
          <w:sz w:val="24"/>
        </w:rPr>
        <w:t>有</w:t>
      </w:r>
      <w:r w:rsidRPr="000D03B4">
        <w:rPr>
          <w:sz w:val="24"/>
        </w:rPr>
        <w:t>两个方面，一是政府与社会资本合作中涉及的评估，</w:t>
      </w:r>
      <w:r w:rsidR="00E5543D" w:rsidRPr="000D03B4">
        <w:rPr>
          <w:sz w:val="24"/>
        </w:rPr>
        <w:t>二</w:t>
      </w:r>
      <w:r w:rsidRPr="000D03B4">
        <w:rPr>
          <w:sz w:val="24"/>
        </w:rPr>
        <w:t>是</w:t>
      </w:r>
      <w:r w:rsidRPr="000D03B4">
        <w:rPr>
          <w:sz w:val="24"/>
        </w:rPr>
        <w:t>PPP</w:t>
      </w:r>
      <w:r w:rsidRPr="000D03B4">
        <w:rPr>
          <w:sz w:val="24"/>
        </w:rPr>
        <w:t>项目资产证券化中涉及的评估。</w:t>
      </w:r>
    </w:p>
    <w:p w14:paraId="41655A46" w14:textId="796E95C8" w:rsidR="00554238" w:rsidRPr="000D03B4" w:rsidRDefault="00554238" w:rsidP="009B4991">
      <w:pPr>
        <w:adjustRightInd w:val="0"/>
        <w:snapToGrid w:val="0"/>
        <w:spacing w:line="276" w:lineRule="auto"/>
        <w:ind w:firstLineChars="200" w:firstLine="480"/>
        <w:rPr>
          <w:sz w:val="24"/>
        </w:rPr>
      </w:pPr>
      <w:bookmarkStart w:id="122" w:name="_Toc10395391"/>
      <w:r w:rsidRPr="000D03B4">
        <w:rPr>
          <w:sz w:val="24"/>
        </w:rPr>
        <w:t>政府与社会资本合作</w:t>
      </w:r>
      <w:bookmarkEnd w:id="122"/>
      <w:r w:rsidR="00CE41FF" w:rsidRPr="000D03B4">
        <w:rPr>
          <w:sz w:val="24"/>
        </w:rPr>
        <w:t>。</w:t>
      </w:r>
      <w:r w:rsidRPr="000D03B4">
        <w:rPr>
          <w:sz w:val="24"/>
        </w:rPr>
        <w:t>《关于〈政府和社会资本合作项目财政管理暂行办法〉的通知》（财金〔</w:t>
      </w:r>
      <w:r w:rsidRPr="000D03B4">
        <w:rPr>
          <w:sz w:val="24"/>
        </w:rPr>
        <w:t>2016</w:t>
      </w:r>
      <w:r w:rsidRPr="000D03B4">
        <w:rPr>
          <w:sz w:val="24"/>
        </w:rPr>
        <w:t>〕</w:t>
      </w:r>
      <w:r w:rsidRPr="000D03B4">
        <w:rPr>
          <w:sz w:val="24"/>
        </w:rPr>
        <w:t>92</w:t>
      </w:r>
      <w:r w:rsidR="00B83624" w:rsidRPr="000D03B4">
        <w:rPr>
          <w:sz w:val="24"/>
        </w:rPr>
        <w:t>号）</w:t>
      </w:r>
      <w:r w:rsidRPr="000D03B4">
        <w:rPr>
          <w:sz w:val="24"/>
        </w:rPr>
        <w:t>规定</w:t>
      </w:r>
      <w:r w:rsidR="00B83624" w:rsidRPr="000D03B4">
        <w:rPr>
          <w:sz w:val="24"/>
        </w:rPr>
        <w:t>，</w:t>
      </w:r>
      <w:r w:rsidR="00B83624" w:rsidRPr="000D03B4">
        <w:rPr>
          <w:sz w:val="24"/>
        </w:rPr>
        <w:t>“</w:t>
      </w:r>
      <w:r w:rsidRPr="000D03B4">
        <w:rPr>
          <w:sz w:val="24"/>
        </w:rPr>
        <w:t>存量项目实施方案中应包括资产评估报告</w:t>
      </w:r>
      <w:r w:rsidR="00B83624" w:rsidRPr="000D03B4">
        <w:rPr>
          <w:sz w:val="24"/>
        </w:rPr>
        <w:t>”</w:t>
      </w:r>
      <w:r w:rsidR="00B83624" w:rsidRPr="000D03B4">
        <w:rPr>
          <w:sz w:val="24"/>
        </w:rPr>
        <w:t>，</w:t>
      </w:r>
      <w:r w:rsidR="00B83624" w:rsidRPr="000D03B4">
        <w:rPr>
          <w:sz w:val="24"/>
        </w:rPr>
        <w:t>“</w:t>
      </w:r>
      <w:r w:rsidRPr="000D03B4">
        <w:rPr>
          <w:sz w:val="24"/>
        </w:rPr>
        <w:t>项目实施机构应该通过政府采购方式委托专家或第三方专业机构，编制项目物有所值评价报告</w:t>
      </w:r>
      <w:r w:rsidR="00B83624" w:rsidRPr="000D03B4">
        <w:rPr>
          <w:sz w:val="24"/>
        </w:rPr>
        <w:t>”</w:t>
      </w:r>
      <w:r w:rsidR="00B83624" w:rsidRPr="000D03B4">
        <w:rPr>
          <w:sz w:val="24"/>
        </w:rPr>
        <w:t>，</w:t>
      </w:r>
      <w:r w:rsidR="00B83624" w:rsidRPr="000D03B4">
        <w:rPr>
          <w:sz w:val="24"/>
        </w:rPr>
        <w:t>“</w:t>
      </w:r>
      <w:r w:rsidRPr="000D03B4">
        <w:rPr>
          <w:sz w:val="24"/>
        </w:rPr>
        <w:t>各级财政部门应当会同行业主管部门开展</w:t>
      </w:r>
      <w:r w:rsidRPr="000D03B4">
        <w:rPr>
          <w:sz w:val="24"/>
        </w:rPr>
        <w:t>PPP</w:t>
      </w:r>
      <w:r w:rsidRPr="000D03B4">
        <w:rPr>
          <w:sz w:val="24"/>
        </w:rPr>
        <w:t>项目绩效运行监控，开展中期绩效评估</w:t>
      </w:r>
      <w:r w:rsidR="00B83624" w:rsidRPr="000D03B4">
        <w:rPr>
          <w:sz w:val="24"/>
        </w:rPr>
        <w:t>”</w:t>
      </w:r>
      <w:r w:rsidR="00B83624" w:rsidRPr="000D03B4">
        <w:rPr>
          <w:sz w:val="24"/>
        </w:rPr>
        <w:t>，</w:t>
      </w:r>
      <w:r w:rsidR="00B83624" w:rsidRPr="000D03B4">
        <w:rPr>
          <w:sz w:val="24"/>
        </w:rPr>
        <w:t>“</w:t>
      </w:r>
      <w:r w:rsidRPr="000D03B4">
        <w:rPr>
          <w:sz w:val="24"/>
        </w:rPr>
        <w:t>存量</w:t>
      </w:r>
      <w:r w:rsidRPr="000D03B4">
        <w:rPr>
          <w:sz w:val="24"/>
        </w:rPr>
        <w:t>PPP</w:t>
      </w:r>
      <w:r w:rsidRPr="000D03B4">
        <w:rPr>
          <w:sz w:val="24"/>
        </w:rPr>
        <w:t>项目中涉及存量国有资产、股权转让的，应由项目实施机构会同行业主管部门和财政部门按照国有资产管理相关办法，依法进行资产评估</w:t>
      </w:r>
      <w:r w:rsidR="00B83624" w:rsidRPr="000D03B4">
        <w:rPr>
          <w:sz w:val="24"/>
        </w:rPr>
        <w:t>”</w:t>
      </w:r>
      <w:r w:rsidR="00B83624" w:rsidRPr="000D03B4">
        <w:rPr>
          <w:sz w:val="24"/>
        </w:rPr>
        <w:t>，</w:t>
      </w:r>
      <w:r w:rsidR="00B83624" w:rsidRPr="000D03B4">
        <w:rPr>
          <w:sz w:val="24"/>
        </w:rPr>
        <w:t>“</w:t>
      </w:r>
      <w:r w:rsidRPr="000D03B4">
        <w:rPr>
          <w:sz w:val="24"/>
        </w:rPr>
        <w:t>项目合作期满移交的，项目实施机构或政府指定的其他机构应组建项目移交工作组，对移交资产进行性能测试、资产评估和登记入账</w:t>
      </w:r>
      <w:r w:rsidR="00B83624" w:rsidRPr="000D03B4">
        <w:rPr>
          <w:sz w:val="24"/>
        </w:rPr>
        <w:t>”</w:t>
      </w:r>
      <w:r w:rsidRPr="000D03B4">
        <w:rPr>
          <w:sz w:val="24"/>
        </w:rPr>
        <w:t>。这五个环节，五种评估事项，既有传统的资产评估，也有绩效</w:t>
      </w:r>
      <w:r w:rsidR="00797052" w:rsidRPr="000D03B4">
        <w:rPr>
          <w:sz w:val="24"/>
        </w:rPr>
        <w:t>评估</w:t>
      </w:r>
      <w:r w:rsidRPr="000D03B4">
        <w:rPr>
          <w:sz w:val="24"/>
        </w:rPr>
        <w:t>，</w:t>
      </w:r>
      <w:r w:rsidR="00BC59F9" w:rsidRPr="000D03B4">
        <w:rPr>
          <w:sz w:val="24"/>
        </w:rPr>
        <w:t>还</w:t>
      </w:r>
      <w:r w:rsidRPr="000D03B4">
        <w:rPr>
          <w:sz w:val="24"/>
        </w:rPr>
        <w:t>有</w:t>
      </w:r>
      <w:r w:rsidRPr="000D03B4">
        <w:rPr>
          <w:sz w:val="24"/>
        </w:rPr>
        <w:t>PPP</w:t>
      </w:r>
      <w:r w:rsidRPr="000D03B4">
        <w:rPr>
          <w:sz w:val="24"/>
        </w:rPr>
        <w:t>项目特有的物有所值评价。《关于在公共服务领域深入推进政府和社会资本合作工作的通知》（财金〔</w:t>
      </w:r>
      <w:r w:rsidRPr="000D03B4">
        <w:rPr>
          <w:sz w:val="24"/>
        </w:rPr>
        <w:t>2016</w:t>
      </w:r>
      <w:r w:rsidRPr="000D03B4">
        <w:rPr>
          <w:sz w:val="24"/>
        </w:rPr>
        <w:t>〕</w:t>
      </w:r>
      <w:r w:rsidRPr="000D03B4">
        <w:rPr>
          <w:sz w:val="24"/>
        </w:rPr>
        <w:t>90</w:t>
      </w:r>
      <w:r w:rsidRPr="000D03B4">
        <w:rPr>
          <w:sz w:val="24"/>
        </w:rPr>
        <w:t>号）和《关于深入推进农业领域政府和社会资本合作的实施意见》（财金〔</w:t>
      </w:r>
      <w:r w:rsidRPr="000D03B4">
        <w:rPr>
          <w:sz w:val="24"/>
        </w:rPr>
        <w:t>2017</w:t>
      </w:r>
      <w:r w:rsidRPr="000D03B4">
        <w:rPr>
          <w:sz w:val="24"/>
        </w:rPr>
        <w:t>〕</w:t>
      </w:r>
      <w:r w:rsidRPr="000D03B4">
        <w:rPr>
          <w:sz w:val="24"/>
        </w:rPr>
        <w:t>50</w:t>
      </w:r>
      <w:r w:rsidRPr="000D03B4">
        <w:rPr>
          <w:sz w:val="24"/>
        </w:rPr>
        <w:t>号）中关于资产评估的规定，属于《关于〈政府和社会资本合作项目财政管理暂行办法〉的通知》（财金〔</w:t>
      </w:r>
      <w:r w:rsidRPr="000D03B4">
        <w:rPr>
          <w:sz w:val="24"/>
        </w:rPr>
        <w:t>2016</w:t>
      </w:r>
      <w:r w:rsidRPr="000D03B4">
        <w:rPr>
          <w:sz w:val="24"/>
        </w:rPr>
        <w:t>〕</w:t>
      </w:r>
      <w:r w:rsidRPr="000D03B4">
        <w:rPr>
          <w:sz w:val="24"/>
        </w:rPr>
        <w:t>92</w:t>
      </w:r>
      <w:r w:rsidRPr="000D03B4">
        <w:rPr>
          <w:sz w:val="24"/>
        </w:rPr>
        <w:t>号）的在公共服务领域和农业领域的具体化。</w:t>
      </w:r>
    </w:p>
    <w:p w14:paraId="3D550EDA" w14:textId="22750F25" w:rsidR="00554238" w:rsidRPr="000D03B4" w:rsidRDefault="00554238" w:rsidP="009B4991">
      <w:pPr>
        <w:adjustRightInd w:val="0"/>
        <w:snapToGrid w:val="0"/>
        <w:spacing w:line="276" w:lineRule="auto"/>
        <w:ind w:firstLineChars="200" w:firstLine="480"/>
        <w:rPr>
          <w:sz w:val="24"/>
        </w:rPr>
      </w:pPr>
      <w:bookmarkStart w:id="123" w:name="_Toc10395392"/>
      <w:r w:rsidRPr="000D03B4">
        <w:rPr>
          <w:sz w:val="24"/>
        </w:rPr>
        <w:t>PPP</w:t>
      </w:r>
      <w:r w:rsidRPr="000D03B4">
        <w:rPr>
          <w:sz w:val="24"/>
        </w:rPr>
        <w:t>项目资产证券化</w:t>
      </w:r>
      <w:bookmarkEnd w:id="123"/>
      <w:r w:rsidR="00CE41FF" w:rsidRPr="000D03B4">
        <w:rPr>
          <w:sz w:val="24"/>
        </w:rPr>
        <w:t>。</w:t>
      </w:r>
      <w:r w:rsidRPr="000D03B4">
        <w:rPr>
          <w:sz w:val="24"/>
        </w:rPr>
        <w:t>财政部</w:t>
      </w:r>
      <w:r w:rsidRPr="000D03B4">
        <w:rPr>
          <w:sz w:val="24"/>
        </w:rPr>
        <w:t>2017</w:t>
      </w:r>
      <w:r w:rsidRPr="000D03B4">
        <w:rPr>
          <w:sz w:val="24"/>
        </w:rPr>
        <w:t>年发布《关于规范开展政府和社会资本合作项目资产证券化有关事宜的通知》（财金〔</w:t>
      </w:r>
      <w:r w:rsidRPr="000D03B4">
        <w:rPr>
          <w:sz w:val="24"/>
        </w:rPr>
        <w:t>2017</w:t>
      </w:r>
      <w:r w:rsidRPr="000D03B4">
        <w:rPr>
          <w:sz w:val="24"/>
        </w:rPr>
        <w:t>〕</w:t>
      </w:r>
      <w:r w:rsidRPr="000D03B4">
        <w:rPr>
          <w:sz w:val="24"/>
        </w:rPr>
        <w:t>55</w:t>
      </w:r>
      <w:r w:rsidRPr="000D03B4">
        <w:rPr>
          <w:sz w:val="24"/>
        </w:rPr>
        <w:t>号），</w:t>
      </w:r>
      <w:r w:rsidR="009F0FB5" w:rsidRPr="000D03B4">
        <w:rPr>
          <w:sz w:val="24"/>
        </w:rPr>
        <w:t>部署</w:t>
      </w:r>
      <w:r w:rsidRPr="000D03B4">
        <w:rPr>
          <w:sz w:val="24"/>
        </w:rPr>
        <w:t>分类稳妥推进</w:t>
      </w:r>
      <w:r w:rsidRPr="000D03B4">
        <w:rPr>
          <w:sz w:val="24"/>
        </w:rPr>
        <w:t>PPP</w:t>
      </w:r>
      <w:r w:rsidRPr="000D03B4">
        <w:rPr>
          <w:sz w:val="24"/>
        </w:rPr>
        <w:t>项目证券化，包括：</w:t>
      </w:r>
      <w:r w:rsidR="00CE41FF" w:rsidRPr="000D03B4">
        <w:rPr>
          <w:sz w:val="24"/>
        </w:rPr>
        <w:t>一是</w:t>
      </w:r>
      <w:r w:rsidRPr="000D03B4">
        <w:rPr>
          <w:sz w:val="24"/>
        </w:rPr>
        <w:t>项目公司资产证券化</w:t>
      </w:r>
      <w:r w:rsidR="00CE41FF" w:rsidRPr="000D03B4">
        <w:rPr>
          <w:sz w:val="24"/>
        </w:rPr>
        <w:t>，</w:t>
      </w:r>
      <w:r w:rsidRPr="000D03B4">
        <w:rPr>
          <w:sz w:val="24"/>
        </w:rPr>
        <w:t>以能够给项目带来现金流的收益权、合同债权作为基础资产，发行资产证券化产品。</w:t>
      </w:r>
      <w:r w:rsidR="00CE41FF" w:rsidRPr="000D03B4">
        <w:rPr>
          <w:sz w:val="24"/>
        </w:rPr>
        <w:t>二是</w:t>
      </w:r>
      <w:r w:rsidRPr="000D03B4">
        <w:rPr>
          <w:sz w:val="24"/>
        </w:rPr>
        <w:t>项目公司股东资产证券化</w:t>
      </w:r>
      <w:r w:rsidR="00CE41FF" w:rsidRPr="000D03B4">
        <w:rPr>
          <w:sz w:val="24"/>
        </w:rPr>
        <w:t>，</w:t>
      </w:r>
      <w:r w:rsidRPr="000D03B4">
        <w:rPr>
          <w:sz w:val="24"/>
        </w:rPr>
        <w:t>除</w:t>
      </w:r>
      <w:r w:rsidRPr="000D03B4">
        <w:rPr>
          <w:sz w:val="24"/>
        </w:rPr>
        <w:t>PPP</w:t>
      </w:r>
      <w:r w:rsidRPr="000D03B4">
        <w:rPr>
          <w:sz w:val="24"/>
        </w:rPr>
        <w:t>合同对项目公司股东的股权转让质押等权利有限制性约定外，在项目建成运营</w:t>
      </w:r>
      <w:r w:rsidRPr="000D03B4">
        <w:rPr>
          <w:sz w:val="24"/>
        </w:rPr>
        <w:t>2</w:t>
      </w:r>
      <w:r w:rsidRPr="000D03B4">
        <w:rPr>
          <w:sz w:val="24"/>
        </w:rPr>
        <w:t>年后，项目公司的股东可以以能够带来现金流的股权作为基础资产，发行资产证券化产品，盘活存量股权资产，提高资产流动性。</w:t>
      </w:r>
      <w:r w:rsidR="00CE41FF" w:rsidRPr="000D03B4">
        <w:rPr>
          <w:sz w:val="24"/>
        </w:rPr>
        <w:t>三是</w:t>
      </w:r>
      <w:r w:rsidRPr="000D03B4">
        <w:rPr>
          <w:sz w:val="24"/>
        </w:rPr>
        <w:t>项目公司其他相关主体资产证券化</w:t>
      </w:r>
      <w:r w:rsidR="00CE41FF" w:rsidRPr="000D03B4">
        <w:rPr>
          <w:sz w:val="24"/>
        </w:rPr>
        <w:t>，</w:t>
      </w:r>
      <w:r w:rsidRPr="000D03B4">
        <w:rPr>
          <w:sz w:val="24"/>
        </w:rPr>
        <w:t>在项目运营阶段，为项目公司提供融资支持的各类债权人，以及为项目公司提供建设支持的承包商等企业作为发起人（原始权益人），可以合同债权、收益权等作为基础资产，按监管规定发行资产证券化产品。在</w:t>
      </w:r>
      <w:r w:rsidRPr="000D03B4">
        <w:rPr>
          <w:sz w:val="24"/>
        </w:rPr>
        <w:t>PPP</w:t>
      </w:r>
      <w:r w:rsidRPr="000D03B4">
        <w:rPr>
          <w:sz w:val="24"/>
        </w:rPr>
        <w:t>项目资产证券化过程中，按照深圳证券交易所的有关规定，应出具《现金流预测报告》和证券化所涉及基础资产的评估报告。</w:t>
      </w:r>
    </w:p>
    <w:p w14:paraId="477D8DC8" w14:textId="5AAA4BE2" w:rsidR="00554238" w:rsidRPr="000D03B4" w:rsidRDefault="008F4BD9" w:rsidP="009B4991">
      <w:pPr>
        <w:adjustRightInd w:val="0"/>
        <w:snapToGrid w:val="0"/>
        <w:spacing w:line="276" w:lineRule="auto"/>
        <w:ind w:firstLineChars="200" w:firstLine="480"/>
        <w:rPr>
          <w:sz w:val="24"/>
        </w:rPr>
      </w:pPr>
      <w:r w:rsidRPr="000D03B4">
        <w:rPr>
          <w:sz w:val="24"/>
        </w:rPr>
        <w:t>（</w:t>
      </w:r>
      <w:r w:rsidRPr="000D03B4">
        <w:rPr>
          <w:sz w:val="24"/>
        </w:rPr>
        <w:t>3</w:t>
      </w:r>
      <w:r w:rsidRPr="000D03B4">
        <w:rPr>
          <w:sz w:val="24"/>
        </w:rPr>
        <w:t>）</w:t>
      </w:r>
      <w:r w:rsidR="00554238" w:rsidRPr="000D03B4">
        <w:rPr>
          <w:sz w:val="24"/>
        </w:rPr>
        <w:t>司法</w:t>
      </w:r>
      <w:proofErr w:type="gramStart"/>
      <w:r w:rsidR="00554238" w:rsidRPr="000D03B4">
        <w:rPr>
          <w:sz w:val="24"/>
        </w:rPr>
        <w:t>鉴证</w:t>
      </w:r>
      <w:proofErr w:type="gramEnd"/>
      <w:r w:rsidR="00554238" w:rsidRPr="000D03B4">
        <w:rPr>
          <w:sz w:val="24"/>
        </w:rPr>
        <w:t>评估</w:t>
      </w:r>
    </w:p>
    <w:p w14:paraId="330FFC50" w14:textId="6CF3E523" w:rsidR="00222395" w:rsidRPr="000D03B4" w:rsidRDefault="00554238" w:rsidP="009B4991">
      <w:pPr>
        <w:adjustRightInd w:val="0"/>
        <w:snapToGrid w:val="0"/>
        <w:spacing w:line="276" w:lineRule="auto"/>
        <w:ind w:firstLineChars="200" w:firstLine="480"/>
        <w:rPr>
          <w:sz w:val="24"/>
        </w:rPr>
      </w:pPr>
      <w:r w:rsidRPr="000D03B4">
        <w:rPr>
          <w:sz w:val="24"/>
        </w:rPr>
        <w:t>司法</w:t>
      </w:r>
      <w:proofErr w:type="gramStart"/>
      <w:r w:rsidRPr="000D03B4">
        <w:rPr>
          <w:sz w:val="24"/>
        </w:rPr>
        <w:t>鉴证</w:t>
      </w:r>
      <w:proofErr w:type="gramEnd"/>
      <w:r w:rsidRPr="000D03B4">
        <w:rPr>
          <w:sz w:val="24"/>
        </w:rPr>
        <w:t>评估主要包括资产损害鉴定评估、资产变价评估和刑事案件定罪量刑中相关损失的估算</w:t>
      </w:r>
      <w:r w:rsidR="00633763" w:rsidRPr="000D03B4">
        <w:rPr>
          <w:sz w:val="24"/>
        </w:rPr>
        <w:t>、人民法院委托司法执行财产处置资产评估</w:t>
      </w:r>
      <w:r w:rsidRPr="000D03B4">
        <w:rPr>
          <w:sz w:val="24"/>
        </w:rPr>
        <w:t>等。</w:t>
      </w:r>
    </w:p>
    <w:p w14:paraId="793A6367" w14:textId="1E6D3353" w:rsidR="0038247E" w:rsidRPr="000D03B4" w:rsidRDefault="00C17103" w:rsidP="009B4991">
      <w:pPr>
        <w:adjustRightInd w:val="0"/>
        <w:snapToGrid w:val="0"/>
        <w:spacing w:line="276" w:lineRule="auto"/>
        <w:ind w:firstLineChars="200" w:firstLine="480"/>
        <w:rPr>
          <w:sz w:val="24"/>
        </w:rPr>
      </w:pPr>
      <w:r w:rsidRPr="000D03B4">
        <w:rPr>
          <w:sz w:val="24"/>
        </w:rPr>
        <w:lastRenderedPageBreak/>
        <w:t>（</w:t>
      </w:r>
      <w:r w:rsidRPr="000D03B4">
        <w:rPr>
          <w:sz w:val="24"/>
        </w:rPr>
        <w:t>4</w:t>
      </w:r>
      <w:r w:rsidRPr="000D03B4">
        <w:rPr>
          <w:sz w:val="24"/>
        </w:rPr>
        <w:t>）</w:t>
      </w:r>
      <w:r w:rsidR="0038247E" w:rsidRPr="000D03B4">
        <w:rPr>
          <w:sz w:val="24"/>
        </w:rPr>
        <w:t>国家中小企业发展基金价值评估</w:t>
      </w:r>
    </w:p>
    <w:p w14:paraId="5B2EF333" w14:textId="32DCF830" w:rsidR="00D02841" w:rsidRPr="000D03B4" w:rsidRDefault="00487946" w:rsidP="00487946">
      <w:pPr>
        <w:adjustRightInd w:val="0"/>
        <w:snapToGrid w:val="0"/>
        <w:spacing w:line="276" w:lineRule="auto"/>
        <w:ind w:firstLineChars="200" w:firstLine="480"/>
        <w:rPr>
          <w:sz w:val="24"/>
        </w:rPr>
      </w:pPr>
      <w:r w:rsidRPr="000D03B4">
        <w:rPr>
          <w:rFonts w:hint="eastAsia"/>
          <w:sz w:val="24"/>
        </w:rPr>
        <w:t>国家中小企业发展基金通过设立母基金、直投基金等，用市场化的办法，重点支持种子期、初创期成长型中小企业发展，其中在基金募资、设立、管理、收益分配、到期退出等环节都可以对基金价值进行评估。</w:t>
      </w:r>
    </w:p>
    <w:p w14:paraId="660D5D65" w14:textId="7E515EAB" w:rsidR="00070967" w:rsidRPr="000D03B4" w:rsidRDefault="00070967" w:rsidP="00070967">
      <w:pPr>
        <w:adjustRightInd w:val="0"/>
        <w:snapToGrid w:val="0"/>
        <w:spacing w:line="276" w:lineRule="auto"/>
        <w:ind w:firstLineChars="200" w:firstLine="480"/>
        <w:rPr>
          <w:sz w:val="24"/>
        </w:rPr>
      </w:pPr>
      <w:r w:rsidRPr="000D03B4">
        <w:rPr>
          <w:sz w:val="24"/>
        </w:rPr>
        <w:t>（</w:t>
      </w:r>
      <w:r w:rsidRPr="000D03B4">
        <w:rPr>
          <w:sz w:val="24"/>
        </w:rPr>
        <w:t>5</w:t>
      </w:r>
      <w:r w:rsidRPr="000D03B4">
        <w:rPr>
          <w:sz w:val="24"/>
        </w:rPr>
        <w:t>）行业协会商会与行政机关脱钩有关国有资产管理</w:t>
      </w:r>
    </w:p>
    <w:p w14:paraId="29C4DDF5" w14:textId="2CA4A68B" w:rsidR="00070967" w:rsidRPr="000D03B4" w:rsidRDefault="00070967" w:rsidP="00070967">
      <w:pPr>
        <w:adjustRightInd w:val="0"/>
        <w:snapToGrid w:val="0"/>
        <w:spacing w:line="276" w:lineRule="auto"/>
        <w:ind w:firstLineChars="200" w:firstLine="480"/>
        <w:rPr>
          <w:sz w:val="24"/>
        </w:rPr>
      </w:pPr>
      <w:r w:rsidRPr="000D03B4">
        <w:rPr>
          <w:sz w:val="24"/>
        </w:rPr>
        <w:t>为了加强行业协会商会与行政机关脱钩过程中以及脱钩后国有资产（包括无形资产）管理，财政部于</w:t>
      </w:r>
      <w:r w:rsidRPr="000D03B4">
        <w:rPr>
          <w:sz w:val="24"/>
        </w:rPr>
        <w:t>2015</w:t>
      </w:r>
      <w:r w:rsidRPr="000D03B4">
        <w:rPr>
          <w:sz w:val="24"/>
        </w:rPr>
        <w:t>年发布《关于加强行业协会商会与行政机关脱钩有关国有资产管理的意见（试行）》（财资〔</w:t>
      </w:r>
      <w:r w:rsidRPr="000D03B4">
        <w:rPr>
          <w:sz w:val="24"/>
        </w:rPr>
        <w:t>2015</w:t>
      </w:r>
      <w:r w:rsidRPr="000D03B4">
        <w:rPr>
          <w:sz w:val="24"/>
        </w:rPr>
        <w:t>〕</w:t>
      </w:r>
      <w:r w:rsidRPr="000D03B4">
        <w:rPr>
          <w:sz w:val="24"/>
        </w:rPr>
        <w:t>44</w:t>
      </w:r>
      <w:r w:rsidRPr="000D03B4">
        <w:rPr>
          <w:sz w:val="24"/>
        </w:rPr>
        <w:t>号），规定</w:t>
      </w:r>
      <w:r w:rsidR="001D1983" w:rsidRPr="000D03B4">
        <w:rPr>
          <w:rFonts w:hint="eastAsia"/>
          <w:sz w:val="24"/>
        </w:rPr>
        <w:t>“</w:t>
      </w:r>
      <w:r w:rsidRPr="000D03B4">
        <w:rPr>
          <w:sz w:val="24"/>
        </w:rPr>
        <w:t>在脱钩过程中，需要进行资产评估的，应当按照《国有资产评估管理办法》（国务院令第</w:t>
      </w:r>
      <w:r w:rsidRPr="000D03B4">
        <w:rPr>
          <w:sz w:val="24"/>
        </w:rPr>
        <w:t>91</w:t>
      </w:r>
      <w:r w:rsidRPr="000D03B4">
        <w:rPr>
          <w:sz w:val="24"/>
        </w:rPr>
        <w:t>号）、《国有资产评估管理若干问题的规定》（财政部令第</w:t>
      </w:r>
      <w:r w:rsidRPr="000D03B4">
        <w:rPr>
          <w:sz w:val="24"/>
        </w:rPr>
        <w:t>14</w:t>
      </w:r>
      <w:r w:rsidRPr="000D03B4">
        <w:rPr>
          <w:sz w:val="24"/>
        </w:rPr>
        <w:t>号）等规定执行</w:t>
      </w:r>
      <w:r w:rsidR="001D1983" w:rsidRPr="000D03B4">
        <w:rPr>
          <w:rFonts w:hint="eastAsia"/>
          <w:sz w:val="24"/>
        </w:rPr>
        <w:t>”</w:t>
      </w:r>
      <w:r w:rsidRPr="000D03B4">
        <w:rPr>
          <w:sz w:val="24"/>
        </w:rPr>
        <w:t>。</w:t>
      </w:r>
    </w:p>
    <w:p w14:paraId="0083D9EC" w14:textId="1535DAD2" w:rsidR="00070967" w:rsidRPr="000D03B4" w:rsidRDefault="00070967" w:rsidP="00070967">
      <w:pPr>
        <w:adjustRightInd w:val="0"/>
        <w:snapToGrid w:val="0"/>
        <w:spacing w:line="276" w:lineRule="auto"/>
        <w:ind w:firstLineChars="200" w:firstLine="480"/>
        <w:rPr>
          <w:sz w:val="24"/>
        </w:rPr>
      </w:pPr>
      <w:r w:rsidRPr="000D03B4">
        <w:rPr>
          <w:sz w:val="24"/>
        </w:rPr>
        <w:t>（</w:t>
      </w:r>
      <w:r w:rsidRPr="000D03B4">
        <w:rPr>
          <w:sz w:val="24"/>
        </w:rPr>
        <w:t>6</w:t>
      </w:r>
      <w:r w:rsidRPr="000D03B4">
        <w:rPr>
          <w:sz w:val="24"/>
        </w:rPr>
        <w:t>）中国足球协会资产处置等经济行为</w:t>
      </w:r>
    </w:p>
    <w:p w14:paraId="0B45987D" w14:textId="6C9D2293" w:rsidR="00070967" w:rsidRPr="000D03B4" w:rsidRDefault="00070967" w:rsidP="00070967">
      <w:pPr>
        <w:adjustRightInd w:val="0"/>
        <w:snapToGrid w:val="0"/>
        <w:spacing w:line="276" w:lineRule="auto"/>
        <w:ind w:firstLineChars="200" w:firstLine="480"/>
        <w:rPr>
          <w:sz w:val="24"/>
        </w:rPr>
      </w:pPr>
      <w:r w:rsidRPr="000D03B4">
        <w:rPr>
          <w:sz w:val="24"/>
        </w:rPr>
        <w:t>财政部</w:t>
      </w:r>
      <w:r w:rsidRPr="000D03B4">
        <w:rPr>
          <w:sz w:val="24"/>
        </w:rPr>
        <w:t>2017</w:t>
      </w:r>
      <w:r w:rsidRPr="000D03B4">
        <w:rPr>
          <w:sz w:val="24"/>
        </w:rPr>
        <w:t>年发布《中国足球协会资产管理暂行办法》（财资〔</w:t>
      </w:r>
      <w:r w:rsidRPr="000D03B4">
        <w:rPr>
          <w:sz w:val="24"/>
        </w:rPr>
        <w:t>2017</w:t>
      </w:r>
      <w:r w:rsidRPr="000D03B4">
        <w:rPr>
          <w:sz w:val="24"/>
        </w:rPr>
        <w:t>〕</w:t>
      </w:r>
      <w:r w:rsidRPr="000D03B4">
        <w:rPr>
          <w:sz w:val="24"/>
        </w:rPr>
        <w:t>32</w:t>
      </w:r>
      <w:r w:rsidRPr="000D03B4">
        <w:rPr>
          <w:sz w:val="24"/>
        </w:rPr>
        <w:t>号）规定：大额资产以出售与置换方式处置的，应委托具有相</w:t>
      </w:r>
      <w:r w:rsidR="00EB1CB6" w:rsidRPr="000D03B4">
        <w:rPr>
          <w:sz w:val="24"/>
        </w:rPr>
        <w:t>应专业能力的资产评估机构进行评估，并通过拍卖、招投标的方式进行；</w:t>
      </w:r>
      <w:r w:rsidRPr="000D03B4">
        <w:rPr>
          <w:sz w:val="24"/>
        </w:rPr>
        <w:t>中国足协所持的国有企业股权资产，应按照《中华人民共和国企业国有资产法》等国有企业有关法律法规进行管理。</w:t>
      </w:r>
    </w:p>
    <w:p w14:paraId="07F7B3A1" w14:textId="188151FD" w:rsidR="00070967" w:rsidRPr="000D03B4" w:rsidRDefault="00070967" w:rsidP="00070967">
      <w:pPr>
        <w:adjustRightInd w:val="0"/>
        <w:snapToGrid w:val="0"/>
        <w:spacing w:line="276" w:lineRule="auto"/>
        <w:ind w:firstLineChars="200" w:firstLine="480"/>
        <w:rPr>
          <w:sz w:val="24"/>
        </w:rPr>
      </w:pPr>
      <w:r w:rsidRPr="000D03B4">
        <w:rPr>
          <w:sz w:val="24"/>
        </w:rPr>
        <w:t>（</w:t>
      </w:r>
      <w:r w:rsidRPr="000D03B4">
        <w:rPr>
          <w:sz w:val="24"/>
        </w:rPr>
        <w:t>7</w:t>
      </w:r>
      <w:r w:rsidRPr="000D03B4">
        <w:rPr>
          <w:sz w:val="24"/>
        </w:rPr>
        <w:t>）包装产业转型中需要资产评估的经济行为</w:t>
      </w:r>
    </w:p>
    <w:p w14:paraId="3C930673" w14:textId="4DCF9404" w:rsidR="001746D2" w:rsidRPr="000D03B4" w:rsidRDefault="00070967" w:rsidP="00070967">
      <w:pPr>
        <w:adjustRightInd w:val="0"/>
        <w:snapToGrid w:val="0"/>
        <w:spacing w:line="276" w:lineRule="auto"/>
        <w:ind w:firstLineChars="200" w:firstLine="480"/>
        <w:rPr>
          <w:sz w:val="24"/>
        </w:rPr>
      </w:pPr>
      <w:r w:rsidRPr="000D03B4">
        <w:rPr>
          <w:sz w:val="24"/>
        </w:rPr>
        <w:t>2016</w:t>
      </w:r>
      <w:r w:rsidRPr="000D03B4">
        <w:rPr>
          <w:sz w:val="24"/>
        </w:rPr>
        <w:t>年工信部和商务部联合发文《关于加快我国包装产业转型发展的指导意见》（工信部</w:t>
      </w:r>
      <w:proofErr w:type="gramStart"/>
      <w:r w:rsidRPr="000D03B4">
        <w:rPr>
          <w:sz w:val="24"/>
        </w:rPr>
        <w:t>联消费</w:t>
      </w:r>
      <w:proofErr w:type="gramEnd"/>
      <w:r w:rsidRPr="000D03B4">
        <w:rPr>
          <w:sz w:val="24"/>
        </w:rPr>
        <w:t>〔</w:t>
      </w:r>
      <w:r w:rsidRPr="000D03B4">
        <w:rPr>
          <w:sz w:val="24"/>
        </w:rPr>
        <w:t>2016</w:t>
      </w:r>
      <w:r w:rsidRPr="000D03B4">
        <w:rPr>
          <w:sz w:val="24"/>
        </w:rPr>
        <w:t>〕</w:t>
      </w:r>
      <w:r w:rsidRPr="000D03B4">
        <w:rPr>
          <w:sz w:val="24"/>
        </w:rPr>
        <w:t>397</w:t>
      </w:r>
      <w:r w:rsidRPr="000D03B4">
        <w:rPr>
          <w:sz w:val="24"/>
        </w:rPr>
        <w:t>号），其中需要资产评估的经济行为包括：</w:t>
      </w:r>
      <w:r w:rsidR="00E405C3" w:rsidRPr="000D03B4">
        <w:rPr>
          <w:sz w:val="24"/>
        </w:rPr>
        <w:t>发展混合所有制经济中涉及的国有资产；</w:t>
      </w:r>
      <w:r w:rsidRPr="000D03B4">
        <w:rPr>
          <w:sz w:val="24"/>
        </w:rPr>
        <w:t>大中型企业的股权分置改革中涉及的国有产权变动</w:t>
      </w:r>
      <w:r w:rsidR="00E405C3" w:rsidRPr="000D03B4">
        <w:rPr>
          <w:sz w:val="24"/>
        </w:rPr>
        <w:t>；</w:t>
      </w:r>
      <w:r w:rsidRPr="000D03B4">
        <w:rPr>
          <w:sz w:val="24"/>
        </w:rPr>
        <w:t>企业与科研院所间的资产重组。</w:t>
      </w:r>
    </w:p>
    <w:p w14:paraId="4F215C5E" w14:textId="3A62A96C" w:rsidR="0038247E" w:rsidRPr="000D03B4" w:rsidRDefault="00F809AB" w:rsidP="009B4991">
      <w:pPr>
        <w:adjustRightInd w:val="0"/>
        <w:snapToGrid w:val="0"/>
        <w:spacing w:line="276" w:lineRule="auto"/>
        <w:ind w:firstLineChars="200" w:firstLine="480"/>
        <w:rPr>
          <w:sz w:val="24"/>
        </w:rPr>
      </w:pPr>
      <w:bookmarkStart w:id="124" w:name="_Toc10395393"/>
      <w:r w:rsidRPr="000D03B4">
        <w:rPr>
          <w:sz w:val="24"/>
        </w:rPr>
        <w:t>2.</w:t>
      </w:r>
      <w:r w:rsidR="0038247E" w:rsidRPr="000D03B4">
        <w:rPr>
          <w:sz w:val="24"/>
        </w:rPr>
        <w:t>文件依据</w:t>
      </w:r>
      <w:bookmarkEnd w:id="124"/>
    </w:p>
    <w:p w14:paraId="4DE17157" w14:textId="2485659B" w:rsidR="0038247E" w:rsidRPr="000D03B4" w:rsidRDefault="00074D90" w:rsidP="00105EDE">
      <w:pPr>
        <w:adjustRightInd w:val="0"/>
        <w:snapToGrid w:val="0"/>
        <w:spacing w:line="276" w:lineRule="auto"/>
        <w:ind w:firstLineChars="200" w:firstLine="480"/>
        <w:jc w:val="left"/>
        <w:rPr>
          <w:sz w:val="24"/>
        </w:rPr>
      </w:pPr>
      <w:r w:rsidRPr="000D03B4">
        <w:rPr>
          <w:sz w:val="24"/>
        </w:rPr>
        <w:t>（</w:t>
      </w:r>
      <w:r w:rsidRPr="000D03B4">
        <w:rPr>
          <w:sz w:val="24"/>
        </w:rPr>
        <w:t>1</w:t>
      </w:r>
      <w:r w:rsidRPr="000D03B4">
        <w:rPr>
          <w:sz w:val="24"/>
        </w:rPr>
        <w:t>）</w:t>
      </w:r>
      <w:r w:rsidR="0038247E" w:rsidRPr="000D03B4">
        <w:rPr>
          <w:sz w:val="24"/>
        </w:rPr>
        <w:t>《</w:t>
      </w:r>
      <w:r w:rsidR="008427F6" w:rsidRPr="000D03B4">
        <w:rPr>
          <w:sz w:val="24"/>
        </w:rPr>
        <w:t>中华人民共和国</w:t>
      </w:r>
      <w:r w:rsidR="0038247E" w:rsidRPr="000D03B4">
        <w:rPr>
          <w:sz w:val="24"/>
        </w:rPr>
        <w:t>环境影响评价法》（</w:t>
      </w:r>
      <w:r w:rsidR="008427F6" w:rsidRPr="000D03B4">
        <w:rPr>
          <w:sz w:val="24"/>
        </w:rPr>
        <w:t>2002</w:t>
      </w:r>
      <w:r w:rsidR="008427F6" w:rsidRPr="000D03B4">
        <w:rPr>
          <w:sz w:val="24"/>
        </w:rPr>
        <w:t>年</w:t>
      </w:r>
      <w:r w:rsidR="008427F6" w:rsidRPr="000D03B4">
        <w:rPr>
          <w:sz w:val="24"/>
        </w:rPr>
        <w:t>10</w:t>
      </w:r>
      <w:r w:rsidR="008427F6" w:rsidRPr="000D03B4">
        <w:rPr>
          <w:sz w:val="24"/>
        </w:rPr>
        <w:t>月</w:t>
      </w:r>
      <w:r w:rsidR="008427F6" w:rsidRPr="000D03B4">
        <w:rPr>
          <w:sz w:val="24"/>
        </w:rPr>
        <w:t>28</w:t>
      </w:r>
      <w:r w:rsidR="008427F6" w:rsidRPr="000D03B4">
        <w:rPr>
          <w:sz w:val="24"/>
        </w:rPr>
        <w:t>日第九届全国人民代表大会常务委员会第三十次会议通过　根据</w:t>
      </w:r>
      <w:r w:rsidR="008427F6" w:rsidRPr="000D03B4">
        <w:rPr>
          <w:sz w:val="24"/>
        </w:rPr>
        <w:t>2016</w:t>
      </w:r>
      <w:r w:rsidR="008427F6" w:rsidRPr="000D03B4">
        <w:rPr>
          <w:sz w:val="24"/>
        </w:rPr>
        <w:t>年</w:t>
      </w:r>
      <w:r w:rsidR="008427F6" w:rsidRPr="000D03B4">
        <w:rPr>
          <w:sz w:val="24"/>
        </w:rPr>
        <w:t>7</w:t>
      </w:r>
      <w:r w:rsidR="008427F6" w:rsidRPr="000D03B4">
        <w:rPr>
          <w:sz w:val="24"/>
        </w:rPr>
        <w:t>月</w:t>
      </w:r>
      <w:r w:rsidR="008427F6" w:rsidRPr="000D03B4">
        <w:rPr>
          <w:sz w:val="24"/>
        </w:rPr>
        <w:t>2</w:t>
      </w:r>
      <w:r w:rsidR="008427F6" w:rsidRPr="000D03B4">
        <w:rPr>
          <w:sz w:val="24"/>
        </w:rPr>
        <w:t>日第十二届全国人民代表大会常务委员会第二十一次会议《关于修改〈中华人民共和国节约能源法〉等六部法律的决定》第一次修正　根据</w:t>
      </w:r>
      <w:r w:rsidR="008427F6" w:rsidRPr="000D03B4">
        <w:rPr>
          <w:sz w:val="24"/>
        </w:rPr>
        <w:t>2018</w:t>
      </w:r>
      <w:r w:rsidR="008427F6" w:rsidRPr="000D03B4">
        <w:rPr>
          <w:sz w:val="24"/>
        </w:rPr>
        <w:t>年</w:t>
      </w:r>
      <w:r w:rsidR="008427F6" w:rsidRPr="000D03B4">
        <w:rPr>
          <w:sz w:val="24"/>
        </w:rPr>
        <w:t>12</w:t>
      </w:r>
      <w:r w:rsidR="008427F6" w:rsidRPr="000D03B4">
        <w:rPr>
          <w:sz w:val="24"/>
        </w:rPr>
        <w:t>月</w:t>
      </w:r>
      <w:r w:rsidR="008427F6" w:rsidRPr="000D03B4">
        <w:rPr>
          <w:sz w:val="24"/>
        </w:rPr>
        <w:t>29</w:t>
      </w:r>
      <w:r w:rsidR="008427F6" w:rsidRPr="000D03B4">
        <w:rPr>
          <w:sz w:val="24"/>
        </w:rPr>
        <w:t>日第十三届全国人民代表大会常务委员会第七次会议《关于修改〈中华人民共和国劳动法〉等七部法律的决定》第二次修正</w:t>
      </w:r>
      <w:r w:rsidRPr="000D03B4">
        <w:rPr>
          <w:sz w:val="24"/>
        </w:rPr>
        <w:t>；</w:t>
      </w:r>
    </w:p>
    <w:p w14:paraId="4A982860" w14:textId="554DB628"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074D90" w:rsidRPr="000D03B4">
        <w:rPr>
          <w:sz w:val="24"/>
        </w:rPr>
        <w:t>2</w:t>
      </w:r>
      <w:r w:rsidRPr="000D03B4">
        <w:rPr>
          <w:sz w:val="24"/>
        </w:rPr>
        <w:t>）</w:t>
      </w:r>
      <w:r w:rsidR="0038247E" w:rsidRPr="000D03B4">
        <w:rPr>
          <w:sz w:val="24"/>
        </w:rPr>
        <w:t>《关于</w:t>
      </w:r>
      <w:r w:rsidR="0038247E" w:rsidRPr="000D03B4">
        <w:rPr>
          <w:sz w:val="24"/>
        </w:rPr>
        <w:t>&lt;</w:t>
      </w:r>
      <w:r w:rsidR="0038247E" w:rsidRPr="000D03B4">
        <w:rPr>
          <w:sz w:val="24"/>
        </w:rPr>
        <w:t>政府和社会资本合作项目财政管理暂行办法</w:t>
      </w:r>
      <w:r w:rsidR="0038247E" w:rsidRPr="000D03B4">
        <w:rPr>
          <w:sz w:val="24"/>
        </w:rPr>
        <w:t>&gt;</w:t>
      </w:r>
      <w:r w:rsidR="0038247E" w:rsidRPr="000D03B4">
        <w:rPr>
          <w:sz w:val="24"/>
        </w:rPr>
        <w:t>的通知》（财金〔</w:t>
      </w:r>
      <w:r w:rsidR="0038247E" w:rsidRPr="000D03B4">
        <w:rPr>
          <w:sz w:val="24"/>
        </w:rPr>
        <w:t>2016</w:t>
      </w:r>
      <w:r w:rsidR="0038247E" w:rsidRPr="000D03B4">
        <w:rPr>
          <w:sz w:val="24"/>
        </w:rPr>
        <w:t>〕</w:t>
      </w:r>
      <w:r w:rsidR="0038247E" w:rsidRPr="000D03B4">
        <w:rPr>
          <w:sz w:val="24"/>
        </w:rPr>
        <w:t>92</w:t>
      </w:r>
      <w:r w:rsidR="0038247E" w:rsidRPr="000D03B4">
        <w:rPr>
          <w:sz w:val="24"/>
        </w:rPr>
        <w:t>号）；</w:t>
      </w:r>
    </w:p>
    <w:p w14:paraId="4A51CEC1" w14:textId="629BB2B4"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074D90" w:rsidRPr="000D03B4">
        <w:rPr>
          <w:sz w:val="24"/>
        </w:rPr>
        <w:t>3</w:t>
      </w:r>
      <w:r w:rsidRPr="000D03B4">
        <w:rPr>
          <w:sz w:val="24"/>
        </w:rPr>
        <w:t>）</w:t>
      </w:r>
      <w:r w:rsidR="0038247E" w:rsidRPr="000D03B4">
        <w:rPr>
          <w:sz w:val="24"/>
        </w:rPr>
        <w:t>《关于在公共服务领域深入推进政府和社会资本合作工作的通知》（财金〔</w:t>
      </w:r>
      <w:r w:rsidR="0038247E" w:rsidRPr="000D03B4">
        <w:rPr>
          <w:sz w:val="24"/>
        </w:rPr>
        <w:t>2016</w:t>
      </w:r>
      <w:r w:rsidR="0038247E" w:rsidRPr="000D03B4">
        <w:rPr>
          <w:sz w:val="24"/>
        </w:rPr>
        <w:t>〕</w:t>
      </w:r>
      <w:r w:rsidR="0038247E" w:rsidRPr="000D03B4">
        <w:rPr>
          <w:sz w:val="24"/>
        </w:rPr>
        <w:t>90</w:t>
      </w:r>
      <w:r w:rsidR="0038247E" w:rsidRPr="000D03B4">
        <w:rPr>
          <w:sz w:val="24"/>
        </w:rPr>
        <w:t>号）；</w:t>
      </w:r>
    </w:p>
    <w:p w14:paraId="3F75A0D3" w14:textId="1347FB67"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074D90" w:rsidRPr="000D03B4">
        <w:rPr>
          <w:sz w:val="24"/>
        </w:rPr>
        <w:t>4</w:t>
      </w:r>
      <w:r w:rsidRPr="000D03B4">
        <w:rPr>
          <w:sz w:val="24"/>
        </w:rPr>
        <w:t>）</w:t>
      </w:r>
      <w:r w:rsidR="0038247E" w:rsidRPr="000D03B4">
        <w:rPr>
          <w:sz w:val="24"/>
        </w:rPr>
        <w:t>《关于深入推进农业领域政府和社会资本合作的实施意见》（财金〔</w:t>
      </w:r>
      <w:r w:rsidR="0038247E" w:rsidRPr="000D03B4">
        <w:rPr>
          <w:sz w:val="24"/>
        </w:rPr>
        <w:t>2017</w:t>
      </w:r>
      <w:r w:rsidR="0038247E" w:rsidRPr="000D03B4">
        <w:rPr>
          <w:sz w:val="24"/>
        </w:rPr>
        <w:t>〕</w:t>
      </w:r>
      <w:r w:rsidR="0038247E" w:rsidRPr="000D03B4">
        <w:rPr>
          <w:sz w:val="24"/>
        </w:rPr>
        <w:t>50</w:t>
      </w:r>
      <w:r w:rsidR="0038247E" w:rsidRPr="000D03B4">
        <w:rPr>
          <w:sz w:val="24"/>
        </w:rPr>
        <w:t>号）；</w:t>
      </w:r>
    </w:p>
    <w:p w14:paraId="1EA788E9" w14:textId="001C9CCB"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074D90" w:rsidRPr="000D03B4">
        <w:rPr>
          <w:sz w:val="24"/>
        </w:rPr>
        <w:t>5</w:t>
      </w:r>
      <w:r w:rsidRPr="000D03B4">
        <w:rPr>
          <w:sz w:val="24"/>
        </w:rPr>
        <w:t>）</w:t>
      </w:r>
      <w:r w:rsidR="0038247E" w:rsidRPr="000D03B4">
        <w:rPr>
          <w:sz w:val="24"/>
        </w:rPr>
        <w:t>《关于规范开展政府和社会资本合作项目资产证券化有关事宜的通知》（财金〔</w:t>
      </w:r>
      <w:r w:rsidR="0038247E" w:rsidRPr="000D03B4">
        <w:rPr>
          <w:sz w:val="24"/>
        </w:rPr>
        <w:t>2017</w:t>
      </w:r>
      <w:r w:rsidR="0038247E" w:rsidRPr="000D03B4">
        <w:rPr>
          <w:sz w:val="24"/>
        </w:rPr>
        <w:t>〕</w:t>
      </w:r>
      <w:r w:rsidR="0038247E" w:rsidRPr="000D03B4">
        <w:rPr>
          <w:sz w:val="24"/>
        </w:rPr>
        <w:t>55</w:t>
      </w:r>
      <w:r w:rsidR="0038247E" w:rsidRPr="000D03B4">
        <w:rPr>
          <w:sz w:val="24"/>
        </w:rPr>
        <w:t>号）</w:t>
      </w:r>
      <w:r w:rsidR="00B1751F" w:rsidRPr="000D03B4">
        <w:rPr>
          <w:sz w:val="24"/>
        </w:rPr>
        <w:t>；</w:t>
      </w:r>
    </w:p>
    <w:p w14:paraId="519382D0" w14:textId="0A40C60E"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074D90" w:rsidRPr="000D03B4">
        <w:rPr>
          <w:sz w:val="24"/>
        </w:rPr>
        <w:t>6</w:t>
      </w:r>
      <w:r w:rsidRPr="000D03B4">
        <w:rPr>
          <w:sz w:val="24"/>
        </w:rPr>
        <w:t>）</w:t>
      </w:r>
      <w:r w:rsidR="0038247E" w:rsidRPr="000D03B4">
        <w:rPr>
          <w:sz w:val="24"/>
        </w:rPr>
        <w:t>《全国人民代表大会常务委员会关于司法鉴定管理问题的决定》</w:t>
      </w:r>
      <w:r w:rsidR="00515D32" w:rsidRPr="000D03B4">
        <w:rPr>
          <w:sz w:val="24"/>
        </w:rPr>
        <w:t>（</w:t>
      </w:r>
      <w:r w:rsidR="00515D32" w:rsidRPr="000D03B4">
        <w:rPr>
          <w:sz w:val="24"/>
        </w:rPr>
        <w:t>2005</w:t>
      </w:r>
      <w:r w:rsidR="00515D32" w:rsidRPr="000D03B4">
        <w:rPr>
          <w:sz w:val="24"/>
        </w:rPr>
        <w:t>年</w:t>
      </w:r>
      <w:r w:rsidR="00515D32" w:rsidRPr="000D03B4">
        <w:rPr>
          <w:sz w:val="24"/>
        </w:rPr>
        <w:t>2</w:t>
      </w:r>
      <w:r w:rsidR="00515D32" w:rsidRPr="000D03B4">
        <w:rPr>
          <w:sz w:val="24"/>
        </w:rPr>
        <w:t>月</w:t>
      </w:r>
      <w:r w:rsidR="00515D32" w:rsidRPr="000D03B4">
        <w:rPr>
          <w:sz w:val="24"/>
        </w:rPr>
        <w:t>28</w:t>
      </w:r>
      <w:r w:rsidR="00515D32" w:rsidRPr="000D03B4">
        <w:rPr>
          <w:sz w:val="24"/>
        </w:rPr>
        <w:t>日第十届全国人民代表大会常务委员会第十四次会议通过</w:t>
      </w:r>
      <w:r w:rsidR="00BB2632" w:rsidRPr="000D03B4">
        <w:rPr>
          <w:sz w:val="24"/>
        </w:rPr>
        <w:t xml:space="preserve"> </w:t>
      </w:r>
      <w:r w:rsidR="00BB2632" w:rsidRPr="000D03B4">
        <w:rPr>
          <w:sz w:val="24"/>
        </w:rPr>
        <w:t>根据</w:t>
      </w:r>
      <w:r w:rsidR="00BB2632" w:rsidRPr="000D03B4">
        <w:rPr>
          <w:sz w:val="24"/>
        </w:rPr>
        <w:t>2015</w:t>
      </w:r>
      <w:r w:rsidR="00BB2632" w:rsidRPr="000D03B4">
        <w:rPr>
          <w:sz w:val="24"/>
        </w:rPr>
        <w:t>年</w:t>
      </w:r>
      <w:r w:rsidR="00BB2632" w:rsidRPr="000D03B4">
        <w:rPr>
          <w:sz w:val="24"/>
        </w:rPr>
        <w:t>4</w:t>
      </w:r>
      <w:r w:rsidR="00BB2632" w:rsidRPr="000D03B4">
        <w:rPr>
          <w:sz w:val="24"/>
        </w:rPr>
        <w:t>月</w:t>
      </w:r>
      <w:r w:rsidR="00BB2632" w:rsidRPr="000D03B4">
        <w:rPr>
          <w:sz w:val="24"/>
        </w:rPr>
        <w:t>24</w:t>
      </w:r>
      <w:r w:rsidR="00BB2632" w:rsidRPr="000D03B4">
        <w:rPr>
          <w:sz w:val="24"/>
        </w:rPr>
        <w:t>日第十二届全国人民代表大会常务委员会第十四次会议《关于修改〈中华人民共和国</w:t>
      </w:r>
      <w:r w:rsidR="00BB2632" w:rsidRPr="000D03B4">
        <w:rPr>
          <w:sz w:val="24"/>
        </w:rPr>
        <w:lastRenderedPageBreak/>
        <w:t>义务教育法〉等五部法律的决定》修正</w:t>
      </w:r>
      <w:r w:rsidR="00515D32" w:rsidRPr="000D03B4">
        <w:rPr>
          <w:sz w:val="24"/>
        </w:rPr>
        <w:t>）</w:t>
      </w:r>
      <w:r w:rsidR="0038247E" w:rsidRPr="000D03B4">
        <w:rPr>
          <w:sz w:val="24"/>
        </w:rPr>
        <w:t>；</w:t>
      </w:r>
    </w:p>
    <w:p w14:paraId="230E4D1E" w14:textId="39E84297"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074D90" w:rsidRPr="000D03B4">
        <w:rPr>
          <w:sz w:val="24"/>
        </w:rPr>
        <w:t>7</w:t>
      </w:r>
      <w:r w:rsidRPr="000D03B4">
        <w:rPr>
          <w:sz w:val="24"/>
        </w:rPr>
        <w:t>）</w:t>
      </w:r>
      <w:r w:rsidR="0038247E" w:rsidRPr="000D03B4">
        <w:rPr>
          <w:sz w:val="24"/>
        </w:rPr>
        <w:t>《</w:t>
      </w:r>
      <w:r w:rsidR="004A18B9" w:rsidRPr="000D03B4">
        <w:rPr>
          <w:sz w:val="24"/>
        </w:rPr>
        <w:t>中华人民共和国</w:t>
      </w:r>
      <w:r w:rsidR="0038247E" w:rsidRPr="000D03B4">
        <w:rPr>
          <w:sz w:val="24"/>
        </w:rPr>
        <w:t>刑事诉讼法》</w:t>
      </w:r>
      <w:r w:rsidR="004A18B9" w:rsidRPr="000D03B4">
        <w:rPr>
          <w:sz w:val="24"/>
        </w:rPr>
        <w:t>（</w:t>
      </w:r>
      <w:r w:rsidR="004A18B9" w:rsidRPr="000D03B4">
        <w:rPr>
          <w:sz w:val="24"/>
        </w:rPr>
        <w:t>1979</w:t>
      </w:r>
      <w:r w:rsidR="004A18B9" w:rsidRPr="000D03B4">
        <w:rPr>
          <w:sz w:val="24"/>
        </w:rPr>
        <w:t>年</w:t>
      </w:r>
      <w:r w:rsidR="004A18B9" w:rsidRPr="000D03B4">
        <w:rPr>
          <w:sz w:val="24"/>
        </w:rPr>
        <w:t>7</w:t>
      </w:r>
      <w:r w:rsidR="004A18B9" w:rsidRPr="000D03B4">
        <w:rPr>
          <w:sz w:val="24"/>
        </w:rPr>
        <w:t>月</w:t>
      </w:r>
      <w:r w:rsidR="004A18B9" w:rsidRPr="000D03B4">
        <w:rPr>
          <w:sz w:val="24"/>
        </w:rPr>
        <w:t>1</w:t>
      </w:r>
      <w:r w:rsidR="004A18B9" w:rsidRPr="000D03B4">
        <w:rPr>
          <w:sz w:val="24"/>
        </w:rPr>
        <w:t>日第五届全国人民代表大会第二次会议通过　根据</w:t>
      </w:r>
      <w:r w:rsidR="004A18B9" w:rsidRPr="000D03B4">
        <w:rPr>
          <w:sz w:val="24"/>
        </w:rPr>
        <w:t>1996</w:t>
      </w:r>
      <w:r w:rsidR="004A18B9" w:rsidRPr="000D03B4">
        <w:rPr>
          <w:sz w:val="24"/>
        </w:rPr>
        <w:t>年</w:t>
      </w:r>
      <w:r w:rsidR="004A18B9" w:rsidRPr="000D03B4">
        <w:rPr>
          <w:sz w:val="24"/>
        </w:rPr>
        <w:t>3</w:t>
      </w:r>
      <w:r w:rsidR="004A18B9" w:rsidRPr="000D03B4">
        <w:rPr>
          <w:sz w:val="24"/>
        </w:rPr>
        <w:t>月</w:t>
      </w:r>
      <w:r w:rsidR="004A18B9" w:rsidRPr="000D03B4">
        <w:rPr>
          <w:sz w:val="24"/>
        </w:rPr>
        <w:t>17</w:t>
      </w:r>
      <w:r w:rsidR="004A18B9" w:rsidRPr="000D03B4">
        <w:rPr>
          <w:sz w:val="24"/>
        </w:rPr>
        <w:t>日第八届全国人民代表大会第四次会议《关于修改〈中华人民共和国刑事诉讼法〉的决定》第一次修正　根据</w:t>
      </w:r>
      <w:r w:rsidR="004A18B9" w:rsidRPr="000D03B4">
        <w:rPr>
          <w:sz w:val="24"/>
        </w:rPr>
        <w:t>2012</w:t>
      </w:r>
      <w:r w:rsidR="004A18B9" w:rsidRPr="000D03B4">
        <w:rPr>
          <w:sz w:val="24"/>
        </w:rPr>
        <w:t>年</w:t>
      </w:r>
      <w:r w:rsidR="004A18B9" w:rsidRPr="000D03B4">
        <w:rPr>
          <w:sz w:val="24"/>
        </w:rPr>
        <w:t>3</w:t>
      </w:r>
      <w:r w:rsidR="004A18B9" w:rsidRPr="000D03B4">
        <w:rPr>
          <w:sz w:val="24"/>
        </w:rPr>
        <w:t>月</w:t>
      </w:r>
      <w:r w:rsidR="004A18B9" w:rsidRPr="000D03B4">
        <w:rPr>
          <w:sz w:val="24"/>
        </w:rPr>
        <w:t>14</w:t>
      </w:r>
      <w:r w:rsidR="004A18B9" w:rsidRPr="000D03B4">
        <w:rPr>
          <w:sz w:val="24"/>
        </w:rPr>
        <w:t>日第十一届全国人民代表大会第五次会议《关于修改〈中华人民共和国刑事诉讼法〉的决定》第二次修正　根据</w:t>
      </w:r>
      <w:r w:rsidR="004A18B9" w:rsidRPr="000D03B4">
        <w:rPr>
          <w:sz w:val="24"/>
        </w:rPr>
        <w:t>2018</w:t>
      </w:r>
      <w:r w:rsidR="004A18B9" w:rsidRPr="000D03B4">
        <w:rPr>
          <w:sz w:val="24"/>
        </w:rPr>
        <w:t>年</w:t>
      </w:r>
      <w:r w:rsidR="004A18B9" w:rsidRPr="000D03B4">
        <w:rPr>
          <w:sz w:val="24"/>
        </w:rPr>
        <w:t>10</w:t>
      </w:r>
      <w:r w:rsidR="004A18B9" w:rsidRPr="000D03B4">
        <w:rPr>
          <w:sz w:val="24"/>
        </w:rPr>
        <w:t>月</w:t>
      </w:r>
      <w:r w:rsidR="004A18B9" w:rsidRPr="000D03B4">
        <w:rPr>
          <w:sz w:val="24"/>
        </w:rPr>
        <w:t>26</w:t>
      </w:r>
      <w:r w:rsidR="004A18B9" w:rsidRPr="000D03B4">
        <w:rPr>
          <w:sz w:val="24"/>
        </w:rPr>
        <w:t>日第十三届全国人民代表大会常务委员会第六次会议《关于修改〈中华人民共和国刑事诉讼法〉的决定》第三次修正）</w:t>
      </w:r>
      <w:r w:rsidR="0038247E" w:rsidRPr="000D03B4">
        <w:rPr>
          <w:sz w:val="24"/>
        </w:rPr>
        <w:t>；</w:t>
      </w:r>
    </w:p>
    <w:p w14:paraId="76B12C6C" w14:textId="6811AFC9"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074D90" w:rsidRPr="000D03B4">
        <w:rPr>
          <w:sz w:val="24"/>
        </w:rPr>
        <w:t>8</w:t>
      </w:r>
      <w:r w:rsidRPr="000D03B4">
        <w:rPr>
          <w:sz w:val="24"/>
        </w:rPr>
        <w:t>）</w:t>
      </w:r>
      <w:r w:rsidR="0038247E" w:rsidRPr="000D03B4">
        <w:rPr>
          <w:sz w:val="24"/>
        </w:rPr>
        <w:t>《</w:t>
      </w:r>
      <w:r w:rsidR="00AE3F87" w:rsidRPr="000D03B4">
        <w:rPr>
          <w:sz w:val="24"/>
        </w:rPr>
        <w:t>中华人民共和国</w:t>
      </w:r>
      <w:r w:rsidR="0038247E" w:rsidRPr="000D03B4">
        <w:rPr>
          <w:sz w:val="24"/>
        </w:rPr>
        <w:t>仲裁法》</w:t>
      </w:r>
      <w:r w:rsidR="00AE3F87" w:rsidRPr="000D03B4">
        <w:rPr>
          <w:sz w:val="24"/>
        </w:rPr>
        <w:t>（</w:t>
      </w:r>
      <w:r w:rsidR="00AE3F87" w:rsidRPr="000D03B4">
        <w:rPr>
          <w:sz w:val="24"/>
        </w:rPr>
        <w:t>1994</w:t>
      </w:r>
      <w:r w:rsidR="00AE3F87" w:rsidRPr="000D03B4">
        <w:rPr>
          <w:sz w:val="24"/>
        </w:rPr>
        <w:t>年</w:t>
      </w:r>
      <w:r w:rsidR="00AE3F87" w:rsidRPr="000D03B4">
        <w:rPr>
          <w:sz w:val="24"/>
        </w:rPr>
        <w:t>8</w:t>
      </w:r>
      <w:r w:rsidR="00AE3F87" w:rsidRPr="000D03B4">
        <w:rPr>
          <w:sz w:val="24"/>
        </w:rPr>
        <w:t>月</w:t>
      </w:r>
      <w:r w:rsidR="00AE3F87" w:rsidRPr="000D03B4">
        <w:rPr>
          <w:sz w:val="24"/>
        </w:rPr>
        <w:t>31</w:t>
      </w:r>
      <w:r w:rsidR="00AE3F87" w:rsidRPr="000D03B4">
        <w:rPr>
          <w:sz w:val="24"/>
        </w:rPr>
        <w:t>日第八届全国人民代表大会常务委员会第九次会议通过　根据</w:t>
      </w:r>
      <w:r w:rsidR="00AE3F87" w:rsidRPr="000D03B4">
        <w:rPr>
          <w:sz w:val="24"/>
        </w:rPr>
        <w:t>2009</w:t>
      </w:r>
      <w:r w:rsidR="00AE3F87" w:rsidRPr="000D03B4">
        <w:rPr>
          <w:sz w:val="24"/>
        </w:rPr>
        <w:t>年</w:t>
      </w:r>
      <w:r w:rsidR="00AE3F87" w:rsidRPr="000D03B4">
        <w:rPr>
          <w:sz w:val="24"/>
        </w:rPr>
        <w:t>8</w:t>
      </w:r>
      <w:r w:rsidR="00AE3F87" w:rsidRPr="000D03B4">
        <w:rPr>
          <w:sz w:val="24"/>
        </w:rPr>
        <w:t>月</w:t>
      </w:r>
      <w:r w:rsidR="00AE3F87" w:rsidRPr="000D03B4">
        <w:rPr>
          <w:sz w:val="24"/>
        </w:rPr>
        <w:t>27</w:t>
      </w:r>
      <w:r w:rsidR="00AE3F87" w:rsidRPr="000D03B4">
        <w:rPr>
          <w:sz w:val="24"/>
        </w:rPr>
        <w:t>日第十一届全国人民代表大会常务委员会第十次会议《关于修改部分法律的决定》第一次修正　根据</w:t>
      </w:r>
      <w:r w:rsidR="00AE3F87" w:rsidRPr="000D03B4">
        <w:rPr>
          <w:sz w:val="24"/>
        </w:rPr>
        <w:t>2017</w:t>
      </w:r>
      <w:r w:rsidR="00AE3F87" w:rsidRPr="000D03B4">
        <w:rPr>
          <w:sz w:val="24"/>
        </w:rPr>
        <w:t>年</w:t>
      </w:r>
      <w:r w:rsidR="00AE3F87" w:rsidRPr="000D03B4">
        <w:rPr>
          <w:sz w:val="24"/>
        </w:rPr>
        <w:t>9</w:t>
      </w:r>
      <w:r w:rsidR="00AE3F87" w:rsidRPr="000D03B4">
        <w:rPr>
          <w:sz w:val="24"/>
        </w:rPr>
        <w:t>月</w:t>
      </w:r>
      <w:r w:rsidR="00AE3F87" w:rsidRPr="000D03B4">
        <w:rPr>
          <w:sz w:val="24"/>
        </w:rPr>
        <w:t>1</w:t>
      </w:r>
      <w:r w:rsidR="00AE3F87" w:rsidRPr="000D03B4">
        <w:rPr>
          <w:sz w:val="24"/>
        </w:rPr>
        <w:t>日第十二届全国人民代表大会常务委员会第二十九次会议《关于修改〈中华人民共和国法官法〉等八部法律的决定》第二次修正）</w:t>
      </w:r>
      <w:r w:rsidR="0038247E" w:rsidRPr="000D03B4">
        <w:rPr>
          <w:sz w:val="24"/>
        </w:rPr>
        <w:t>；</w:t>
      </w:r>
    </w:p>
    <w:p w14:paraId="060211BD" w14:textId="309AFDFE"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074D90" w:rsidRPr="000D03B4">
        <w:rPr>
          <w:sz w:val="24"/>
        </w:rPr>
        <w:t>9</w:t>
      </w:r>
      <w:r w:rsidRPr="000D03B4">
        <w:rPr>
          <w:sz w:val="24"/>
        </w:rPr>
        <w:t>）</w:t>
      </w:r>
      <w:r w:rsidR="0038247E" w:rsidRPr="000D03B4">
        <w:rPr>
          <w:sz w:val="24"/>
        </w:rPr>
        <w:t>《司法鉴定程序通则》（司法部令第</w:t>
      </w:r>
      <w:r w:rsidR="0038247E" w:rsidRPr="000D03B4">
        <w:rPr>
          <w:sz w:val="24"/>
        </w:rPr>
        <w:t>107</w:t>
      </w:r>
      <w:r w:rsidR="0038247E" w:rsidRPr="000D03B4">
        <w:rPr>
          <w:sz w:val="24"/>
        </w:rPr>
        <w:t>号）；</w:t>
      </w:r>
    </w:p>
    <w:p w14:paraId="186F45B9" w14:textId="2871FD91"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074D90" w:rsidRPr="000D03B4">
        <w:rPr>
          <w:sz w:val="24"/>
        </w:rPr>
        <w:t>10</w:t>
      </w:r>
      <w:r w:rsidRPr="000D03B4">
        <w:rPr>
          <w:sz w:val="24"/>
        </w:rPr>
        <w:t>）</w:t>
      </w:r>
      <w:r w:rsidR="0038247E" w:rsidRPr="000D03B4">
        <w:rPr>
          <w:sz w:val="24"/>
        </w:rPr>
        <w:t>《最高人民法院关于人民法院民事执行中拍卖、变卖财产的规定》（法释〔</w:t>
      </w:r>
      <w:r w:rsidR="0038247E" w:rsidRPr="000D03B4">
        <w:rPr>
          <w:sz w:val="24"/>
        </w:rPr>
        <w:t>2004</w:t>
      </w:r>
      <w:r w:rsidR="0038247E" w:rsidRPr="000D03B4">
        <w:rPr>
          <w:sz w:val="24"/>
        </w:rPr>
        <w:t>〕</w:t>
      </w:r>
      <w:r w:rsidR="0038247E" w:rsidRPr="000D03B4">
        <w:rPr>
          <w:sz w:val="24"/>
        </w:rPr>
        <w:t>16</w:t>
      </w:r>
      <w:r w:rsidR="0038247E" w:rsidRPr="000D03B4">
        <w:rPr>
          <w:sz w:val="24"/>
        </w:rPr>
        <w:t>号）；</w:t>
      </w:r>
    </w:p>
    <w:p w14:paraId="7FD2774F" w14:textId="4675F7EA"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074D90" w:rsidRPr="000D03B4">
        <w:rPr>
          <w:sz w:val="24"/>
        </w:rPr>
        <w:t>11</w:t>
      </w:r>
      <w:r w:rsidR="00074D90" w:rsidRPr="000D03B4">
        <w:rPr>
          <w:sz w:val="24"/>
        </w:rPr>
        <w:t>）</w:t>
      </w:r>
      <w:r w:rsidR="0038247E" w:rsidRPr="000D03B4">
        <w:rPr>
          <w:sz w:val="24"/>
        </w:rPr>
        <w:t>《最高人民法院关于冻结、拍卖上市公司国有股和社会法人股若干问题的规定》（法释〔</w:t>
      </w:r>
      <w:r w:rsidR="0038247E" w:rsidRPr="000D03B4">
        <w:rPr>
          <w:sz w:val="24"/>
        </w:rPr>
        <w:t>2001</w:t>
      </w:r>
      <w:r w:rsidR="0038247E" w:rsidRPr="000D03B4">
        <w:rPr>
          <w:sz w:val="24"/>
        </w:rPr>
        <w:t>〕</w:t>
      </w:r>
      <w:r w:rsidR="0038247E" w:rsidRPr="000D03B4">
        <w:rPr>
          <w:sz w:val="24"/>
        </w:rPr>
        <w:t>28</w:t>
      </w:r>
      <w:r w:rsidR="00074D90" w:rsidRPr="000D03B4">
        <w:rPr>
          <w:sz w:val="24"/>
        </w:rPr>
        <w:t>号）</w:t>
      </w:r>
      <w:r w:rsidR="0038247E" w:rsidRPr="000D03B4">
        <w:rPr>
          <w:sz w:val="24"/>
        </w:rPr>
        <w:t>；</w:t>
      </w:r>
    </w:p>
    <w:p w14:paraId="48381F3D" w14:textId="3C182A2A"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074D90" w:rsidRPr="000D03B4">
        <w:rPr>
          <w:sz w:val="24"/>
        </w:rPr>
        <w:t>12</w:t>
      </w:r>
      <w:r w:rsidRPr="000D03B4">
        <w:rPr>
          <w:sz w:val="24"/>
        </w:rPr>
        <w:t>）</w:t>
      </w:r>
      <w:r w:rsidR="0038247E" w:rsidRPr="000D03B4">
        <w:rPr>
          <w:sz w:val="24"/>
        </w:rPr>
        <w:t>《最高人民法院关于人民法院委托评估、拍卖工作的若干规定》（</w:t>
      </w:r>
      <w:r w:rsidR="00C7260E" w:rsidRPr="000D03B4">
        <w:rPr>
          <w:sz w:val="24"/>
        </w:rPr>
        <w:t>法释〔</w:t>
      </w:r>
      <w:r w:rsidR="00C7260E" w:rsidRPr="000D03B4">
        <w:rPr>
          <w:sz w:val="24"/>
        </w:rPr>
        <w:t>2011</w:t>
      </w:r>
      <w:r w:rsidR="00C7260E" w:rsidRPr="000D03B4">
        <w:rPr>
          <w:sz w:val="24"/>
        </w:rPr>
        <w:t>〕</w:t>
      </w:r>
      <w:r w:rsidR="00C7260E" w:rsidRPr="000D03B4">
        <w:rPr>
          <w:sz w:val="24"/>
        </w:rPr>
        <w:t>21</w:t>
      </w:r>
      <w:r w:rsidR="00C7260E" w:rsidRPr="000D03B4">
        <w:rPr>
          <w:sz w:val="24"/>
        </w:rPr>
        <w:t>号，</w:t>
      </w:r>
      <w:r w:rsidR="0038247E" w:rsidRPr="000D03B4">
        <w:rPr>
          <w:sz w:val="24"/>
        </w:rPr>
        <w:t>于</w:t>
      </w:r>
      <w:r w:rsidR="0038247E" w:rsidRPr="000D03B4">
        <w:rPr>
          <w:sz w:val="24"/>
        </w:rPr>
        <w:t>2010</w:t>
      </w:r>
      <w:r w:rsidR="0038247E" w:rsidRPr="000D03B4">
        <w:rPr>
          <w:sz w:val="24"/>
        </w:rPr>
        <w:t>年</w:t>
      </w:r>
      <w:r w:rsidR="0038247E" w:rsidRPr="000D03B4">
        <w:rPr>
          <w:sz w:val="24"/>
        </w:rPr>
        <w:t>8</w:t>
      </w:r>
      <w:r w:rsidR="0038247E" w:rsidRPr="000D03B4">
        <w:rPr>
          <w:sz w:val="24"/>
        </w:rPr>
        <w:t>月</w:t>
      </w:r>
      <w:r w:rsidR="0038247E" w:rsidRPr="000D03B4">
        <w:rPr>
          <w:sz w:val="24"/>
        </w:rPr>
        <w:t>16</w:t>
      </w:r>
      <w:r w:rsidR="0038247E" w:rsidRPr="000D03B4">
        <w:rPr>
          <w:sz w:val="24"/>
        </w:rPr>
        <w:t>日由最高人民法院审判委员会第</w:t>
      </w:r>
      <w:r w:rsidR="0038247E" w:rsidRPr="000D03B4">
        <w:rPr>
          <w:sz w:val="24"/>
        </w:rPr>
        <w:t>1492</w:t>
      </w:r>
      <w:r w:rsidR="0038247E" w:rsidRPr="000D03B4">
        <w:rPr>
          <w:sz w:val="24"/>
        </w:rPr>
        <w:t>次会议通过，</w:t>
      </w:r>
      <w:r w:rsidR="0038247E" w:rsidRPr="000D03B4">
        <w:rPr>
          <w:sz w:val="24"/>
        </w:rPr>
        <w:t>2011</w:t>
      </w:r>
      <w:r w:rsidR="0038247E" w:rsidRPr="000D03B4">
        <w:rPr>
          <w:sz w:val="24"/>
        </w:rPr>
        <w:t>年</w:t>
      </w:r>
      <w:r w:rsidR="0038247E" w:rsidRPr="000D03B4">
        <w:rPr>
          <w:sz w:val="24"/>
        </w:rPr>
        <w:t>9</w:t>
      </w:r>
      <w:r w:rsidR="0038247E" w:rsidRPr="000D03B4">
        <w:rPr>
          <w:sz w:val="24"/>
        </w:rPr>
        <w:t>月</w:t>
      </w:r>
      <w:r w:rsidR="0038247E" w:rsidRPr="000D03B4">
        <w:rPr>
          <w:sz w:val="24"/>
        </w:rPr>
        <w:t>7</w:t>
      </w:r>
      <w:r w:rsidR="0038247E" w:rsidRPr="000D03B4">
        <w:rPr>
          <w:sz w:val="24"/>
        </w:rPr>
        <w:t>日最高人民法院予以公布）；</w:t>
      </w:r>
    </w:p>
    <w:p w14:paraId="2434A6B8" w14:textId="1DBD0904" w:rsidR="00F02F42" w:rsidRPr="000D03B4" w:rsidRDefault="00F02F42" w:rsidP="00F02F42">
      <w:pPr>
        <w:adjustRightInd w:val="0"/>
        <w:snapToGrid w:val="0"/>
        <w:spacing w:line="276" w:lineRule="auto"/>
        <w:ind w:firstLineChars="200" w:firstLine="480"/>
        <w:jc w:val="left"/>
        <w:rPr>
          <w:sz w:val="24"/>
        </w:rPr>
      </w:pPr>
      <w:r w:rsidRPr="000D03B4">
        <w:rPr>
          <w:sz w:val="24"/>
        </w:rPr>
        <w:t>（</w:t>
      </w:r>
      <w:r w:rsidRPr="000D03B4">
        <w:rPr>
          <w:sz w:val="24"/>
        </w:rPr>
        <w:t>1</w:t>
      </w:r>
      <w:r>
        <w:rPr>
          <w:rFonts w:hint="eastAsia"/>
          <w:sz w:val="24"/>
        </w:rPr>
        <w:t>3</w:t>
      </w:r>
      <w:r w:rsidRPr="000D03B4">
        <w:rPr>
          <w:sz w:val="24"/>
        </w:rPr>
        <w:t>）《最高人民法院关于人民法院确定财产处置参考价若干问题的规定》（法释〔</w:t>
      </w:r>
      <w:r w:rsidRPr="000D03B4">
        <w:rPr>
          <w:sz w:val="24"/>
        </w:rPr>
        <w:t>2018</w:t>
      </w:r>
      <w:r w:rsidRPr="000D03B4">
        <w:rPr>
          <w:sz w:val="24"/>
        </w:rPr>
        <w:t>〕</w:t>
      </w:r>
      <w:r w:rsidRPr="000D03B4">
        <w:rPr>
          <w:sz w:val="24"/>
        </w:rPr>
        <w:t>15</w:t>
      </w:r>
      <w:r w:rsidRPr="000D03B4">
        <w:rPr>
          <w:sz w:val="24"/>
        </w:rPr>
        <w:t>号）；</w:t>
      </w:r>
    </w:p>
    <w:p w14:paraId="2C1345A5" w14:textId="0CC21692"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074D90" w:rsidRPr="000D03B4">
        <w:rPr>
          <w:sz w:val="24"/>
        </w:rPr>
        <w:t>1</w:t>
      </w:r>
      <w:r w:rsidR="00F02F42">
        <w:rPr>
          <w:rFonts w:hint="eastAsia"/>
          <w:sz w:val="24"/>
        </w:rPr>
        <w:t>4</w:t>
      </w:r>
      <w:r w:rsidRPr="000D03B4">
        <w:rPr>
          <w:sz w:val="24"/>
        </w:rPr>
        <w:t>）</w:t>
      </w:r>
      <w:r w:rsidR="0038247E" w:rsidRPr="000D03B4">
        <w:rPr>
          <w:sz w:val="24"/>
        </w:rPr>
        <w:t>《人民法院委托评估工作规范》（法办〔</w:t>
      </w:r>
      <w:r w:rsidR="0038247E" w:rsidRPr="000D03B4">
        <w:rPr>
          <w:sz w:val="24"/>
        </w:rPr>
        <w:t>2018</w:t>
      </w:r>
      <w:r w:rsidR="0038247E" w:rsidRPr="000D03B4">
        <w:rPr>
          <w:sz w:val="24"/>
        </w:rPr>
        <w:t>〕</w:t>
      </w:r>
      <w:r w:rsidR="0038247E" w:rsidRPr="000D03B4">
        <w:rPr>
          <w:sz w:val="24"/>
        </w:rPr>
        <w:t>273</w:t>
      </w:r>
      <w:r w:rsidR="0038247E" w:rsidRPr="000D03B4">
        <w:rPr>
          <w:sz w:val="24"/>
        </w:rPr>
        <w:t>号）；</w:t>
      </w:r>
    </w:p>
    <w:p w14:paraId="5BFD8302" w14:textId="2B7A5C5C" w:rsidR="0038247E" w:rsidRPr="000D03B4" w:rsidRDefault="00BD0C13" w:rsidP="00105EDE">
      <w:pPr>
        <w:adjustRightInd w:val="0"/>
        <w:snapToGrid w:val="0"/>
        <w:spacing w:line="276" w:lineRule="auto"/>
        <w:ind w:firstLineChars="200" w:firstLine="480"/>
        <w:jc w:val="left"/>
        <w:rPr>
          <w:sz w:val="24"/>
        </w:rPr>
      </w:pPr>
      <w:r w:rsidRPr="000D03B4">
        <w:rPr>
          <w:sz w:val="24"/>
        </w:rPr>
        <w:t>（</w:t>
      </w:r>
      <w:r w:rsidR="00A91689" w:rsidRPr="000D03B4">
        <w:rPr>
          <w:sz w:val="24"/>
        </w:rPr>
        <w:t>1</w:t>
      </w:r>
      <w:r w:rsidR="00B82D07" w:rsidRPr="000D03B4">
        <w:rPr>
          <w:sz w:val="24"/>
        </w:rPr>
        <w:t>5</w:t>
      </w:r>
      <w:r w:rsidR="00A91689" w:rsidRPr="000D03B4">
        <w:rPr>
          <w:sz w:val="24"/>
        </w:rPr>
        <w:t>）</w:t>
      </w:r>
      <w:r w:rsidR="0038247E" w:rsidRPr="000D03B4">
        <w:rPr>
          <w:sz w:val="24"/>
        </w:rPr>
        <w:t>《国务院关于进一步支持小型微型企业健康发展的意见》（国发〔</w:t>
      </w:r>
      <w:r w:rsidR="0038247E" w:rsidRPr="000D03B4">
        <w:rPr>
          <w:sz w:val="24"/>
        </w:rPr>
        <w:t>2012</w:t>
      </w:r>
      <w:r w:rsidR="0038247E" w:rsidRPr="000D03B4">
        <w:rPr>
          <w:sz w:val="24"/>
        </w:rPr>
        <w:t>〕</w:t>
      </w:r>
      <w:r w:rsidR="0038247E" w:rsidRPr="000D03B4">
        <w:rPr>
          <w:sz w:val="24"/>
        </w:rPr>
        <w:t>14</w:t>
      </w:r>
      <w:r w:rsidR="0038247E" w:rsidRPr="000D03B4">
        <w:rPr>
          <w:sz w:val="24"/>
        </w:rPr>
        <w:t>号）；</w:t>
      </w:r>
    </w:p>
    <w:p w14:paraId="5CCFA447" w14:textId="050E2DDA" w:rsidR="00070967" w:rsidRPr="000D03B4" w:rsidRDefault="00070967" w:rsidP="00105EDE">
      <w:pPr>
        <w:adjustRightInd w:val="0"/>
        <w:snapToGrid w:val="0"/>
        <w:spacing w:line="276" w:lineRule="auto"/>
        <w:ind w:firstLineChars="200" w:firstLine="480"/>
        <w:jc w:val="left"/>
        <w:rPr>
          <w:sz w:val="24"/>
        </w:rPr>
      </w:pPr>
      <w:r w:rsidRPr="000D03B4">
        <w:rPr>
          <w:sz w:val="24"/>
        </w:rPr>
        <w:t>（</w:t>
      </w:r>
      <w:r w:rsidRPr="000D03B4">
        <w:rPr>
          <w:sz w:val="24"/>
        </w:rPr>
        <w:t>1</w:t>
      </w:r>
      <w:r w:rsidR="00B82D07" w:rsidRPr="000D03B4">
        <w:rPr>
          <w:sz w:val="24"/>
        </w:rPr>
        <w:t>6</w:t>
      </w:r>
      <w:r w:rsidRPr="000D03B4">
        <w:rPr>
          <w:sz w:val="24"/>
        </w:rPr>
        <w:t>）《关于加强行业协会商会与行政机关脱钩有关国有资产管理的意见（试行）》（财资〔</w:t>
      </w:r>
      <w:r w:rsidRPr="000D03B4">
        <w:rPr>
          <w:sz w:val="24"/>
        </w:rPr>
        <w:t>2015</w:t>
      </w:r>
      <w:r w:rsidRPr="000D03B4">
        <w:rPr>
          <w:sz w:val="24"/>
        </w:rPr>
        <w:t>〕</w:t>
      </w:r>
      <w:r w:rsidRPr="000D03B4">
        <w:rPr>
          <w:sz w:val="24"/>
        </w:rPr>
        <w:t>44</w:t>
      </w:r>
      <w:r w:rsidRPr="000D03B4">
        <w:rPr>
          <w:sz w:val="24"/>
        </w:rPr>
        <w:t>号）；</w:t>
      </w:r>
    </w:p>
    <w:p w14:paraId="24DE2A83" w14:textId="390FB1BC" w:rsidR="00070967" w:rsidRPr="000D03B4" w:rsidRDefault="00070967" w:rsidP="00105EDE">
      <w:pPr>
        <w:adjustRightInd w:val="0"/>
        <w:snapToGrid w:val="0"/>
        <w:spacing w:line="276" w:lineRule="auto"/>
        <w:ind w:firstLineChars="200" w:firstLine="480"/>
        <w:jc w:val="left"/>
        <w:rPr>
          <w:sz w:val="24"/>
        </w:rPr>
      </w:pPr>
      <w:r w:rsidRPr="000D03B4">
        <w:rPr>
          <w:sz w:val="24"/>
        </w:rPr>
        <w:t>（</w:t>
      </w:r>
      <w:r w:rsidRPr="000D03B4">
        <w:rPr>
          <w:sz w:val="24"/>
        </w:rPr>
        <w:t>1</w:t>
      </w:r>
      <w:r w:rsidR="00B82D07" w:rsidRPr="000D03B4">
        <w:rPr>
          <w:sz w:val="24"/>
        </w:rPr>
        <w:t>7</w:t>
      </w:r>
      <w:r w:rsidRPr="000D03B4">
        <w:rPr>
          <w:sz w:val="24"/>
        </w:rPr>
        <w:t>）《中国足球协会资产管理暂行办法》（财资〔</w:t>
      </w:r>
      <w:r w:rsidRPr="000D03B4">
        <w:rPr>
          <w:sz w:val="24"/>
        </w:rPr>
        <w:t>2017</w:t>
      </w:r>
      <w:r w:rsidRPr="000D03B4">
        <w:rPr>
          <w:sz w:val="24"/>
        </w:rPr>
        <w:t>〕</w:t>
      </w:r>
      <w:r w:rsidRPr="000D03B4">
        <w:rPr>
          <w:sz w:val="24"/>
        </w:rPr>
        <w:t>32</w:t>
      </w:r>
      <w:r w:rsidRPr="000D03B4">
        <w:rPr>
          <w:sz w:val="24"/>
        </w:rPr>
        <w:t>号）；</w:t>
      </w:r>
    </w:p>
    <w:p w14:paraId="4E5CA4C0" w14:textId="27E261FC" w:rsidR="00070967" w:rsidRPr="000D03B4" w:rsidRDefault="00070967" w:rsidP="00105EDE">
      <w:pPr>
        <w:adjustRightInd w:val="0"/>
        <w:snapToGrid w:val="0"/>
        <w:spacing w:line="276" w:lineRule="auto"/>
        <w:ind w:firstLineChars="200" w:firstLine="480"/>
        <w:jc w:val="left"/>
        <w:rPr>
          <w:sz w:val="24"/>
        </w:rPr>
      </w:pPr>
      <w:r w:rsidRPr="000D03B4">
        <w:rPr>
          <w:sz w:val="24"/>
        </w:rPr>
        <w:t>（</w:t>
      </w:r>
      <w:r w:rsidRPr="000D03B4">
        <w:rPr>
          <w:sz w:val="24"/>
        </w:rPr>
        <w:t>1</w:t>
      </w:r>
      <w:r w:rsidR="00B82D07" w:rsidRPr="000D03B4">
        <w:rPr>
          <w:sz w:val="24"/>
        </w:rPr>
        <w:t>8</w:t>
      </w:r>
      <w:r w:rsidRPr="000D03B4">
        <w:rPr>
          <w:sz w:val="24"/>
        </w:rPr>
        <w:t>）《关于加快我国包装产业转型发展的指导意见》（工信部</w:t>
      </w:r>
      <w:proofErr w:type="gramStart"/>
      <w:r w:rsidRPr="000D03B4">
        <w:rPr>
          <w:sz w:val="24"/>
        </w:rPr>
        <w:t>联消费</w:t>
      </w:r>
      <w:proofErr w:type="gramEnd"/>
      <w:r w:rsidRPr="000D03B4">
        <w:rPr>
          <w:sz w:val="24"/>
        </w:rPr>
        <w:t>〔</w:t>
      </w:r>
      <w:r w:rsidRPr="000D03B4">
        <w:rPr>
          <w:sz w:val="24"/>
        </w:rPr>
        <w:t>2016</w:t>
      </w:r>
      <w:r w:rsidRPr="000D03B4">
        <w:rPr>
          <w:sz w:val="24"/>
        </w:rPr>
        <w:t>〕</w:t>
      </w:r>
      <w:r w:rsidRPr="000D03B4">
        <w:rPr>
          <w:sz w:val="24"/>
        </w:rPr>
        <w:t>397</w:t>
      </w:r>
      <w:r w:rsidRPr="000D03B4">
        <w:rPr>
          <w:sz w:val="24"/>
        </w:rPr>
        <w:t>号）</w:t>
      </w:r>
      <w:r w:rsidR="00F31C48">
        <w:rPr>
          <w:rFonts w:hint="eastAsia"/>
          <w:sz w:val="24"/>
        </w:rPr>
        <w:t>等</w:t>
      </w:r>
      <w:r w:rsidRPr="000D03B4">
        <w:rPr>
          <w:sz w:val="24"/>
        </w:rPr>
        <w:t>。</w:t>
      </w:r>
    </w:p>
    <w:p w14:paraId="534C11F6" w14:textId="00715297" w:rsidR="00506AE0" w:rsidRPr="000D03B4" w:rsidRDefault="009F7A3A" w:rsidP="00122168">
      <w:pPr>
        <w:spacing w:line="276" w:lineRule="auto"/>
        <w:ind w:firstLineChars="200" w:firstLine="480"/>
        <w:rPr>
          <w:rFonts w:eastAsia="黑体"/>
          <w:sz w:val="24"/>
        </w:rPr>
      </w:pPr>
      <w:bookmarkStart w:id="125" w:name="_Toc3385903"/>
      <w:bookmarkStart w:id="126" w:name="_Toc2778983"/>
      <w:bookmarkStart w:id="127" w:name="_Toc10395394"/>
      <w:bookmarkStart w:id="128" w:name="_Toc13148351"/>
      <w:r w:rsidRPr="000D03B4">
        <w:rPr>
          <w:rFonts w:eastAsia="黑体"/>
          <w:sz w:val="24"/>
        </w:rPr>
        <w:t>二、</w:t>
      </w:r>
      <w:r w:rsidR="000A2AE6" w:rsidRPr="000D03B4">
        <w:rPr>
          <w:rFonts w:eastAsia="黑体"/>
          <w:sz w:val="24"/>
        </w:rPr>
        <w:t>评价类</w:t>
      </w:r>
      <w:r w:rsidR="00122127" w:rsidRPr="000D03B4">
        <w:rPr>
          <w:rFonts w:eastAsia="黑体"/>
          <w:sz w:val="24"/>
        </w:rPr>
        <w:t>业务</w:t>
      </w:r>
      <w:bookmarkEnd w:id="125"/>
      <w:bookmarkEnd w:id="126"/>
      <w:bookmarkEnd w:id="127"/>
      <w:bookmarkEnd w:id="128"/>
    </w:p>
    <w:p w14:paraId="4E2BC601" w14:textId="53EB9157" w:rsidR="00285493" w:rsidRPr="000D03B4" w:rsidRDefault="00285493" w:rsidP="00C9592A">
      <w:pPr>
        <w:spacing w:line="276" w:lineRule="auto"/>
        <w:ind w:firstLineChars="200" w:firstLine="480"/>
        <w:rPr>
          <w:sz w:val="24"/>
        </w:rPr>
      </w:pPr>
      <w:bookmarkStart w:id="129" w:name="_Toc535836452"/>
      <w:bookmarkStart w:id="130" w:name="_Toc2778984"/>
      <w:bookmarkStart w:id="131" w:name="_Toc3385904"/>
      <w:r w:rsidRPr="000D03B4">
        <w:rPr>
          <w:sz w:val="24"/>
        </w:rPr>
        <w:t>评价类业务涉及到企业</w:t>
      </w:r>
      <w:r w:rsidR="006B061F" w:rsidRPr="000D03B4">
        <w:rPr>
          <w:sz w:val="24"/>
        </w:rPr>
        <w:t>、财政部门和预算部门（单位）等</w:t>
      </w:r>
      <w:r w:rsidR="009F0FB5" w:rsidRPr="000D03B4">
        <w:rPr>
          <w:sz w:val="24"/>
        </w:rPr>
        <w:t>需求方，触发资产</w:t>
      </w:r>
      <w:r w:rsidR="00DF277E" w:rsidRPr="000D03B4">
        <w:rPr>
          <w:sz w:val="24"/>
        </w:rPr>
        <w:t>评估</w:t>
      </w:r>
      <w:r w:rsidR="007359AB" w:rsidRPr="000D03B4">
        <w:rPr>
          <w:sz w:val="24"/>
        </w:rPr>
        <w:t>行业</w:t>
      </w:r>
      <w:r w:rsidR="00DF277E" w:rsidRPr="000D03B4">
        <w:rPr>
          <w:sz w:val="24"/>
        </w:rPr>
        <w:t>业务</w:t>
      </w:r>
      <w:r w:rsidR="009F0FB5" w:rsidRPr="000D03B4">
        <w:rPr>
          <w:sz w:val="24"/>
        </w:rPr>
        <w:t>的经济行为</w:t>
      </w:r>
      <w:r w:rsidR="00D81430" w:rsidRPr="000D03B4">
        <w:rPr>
          <w:sz w:val="24"/>
        </w:rPr>
        <w:t>共计</w:t>
      </w:r>
      <w:r w:rsidR="00013E18" w:rsidRPr="000D03B4">
        <w:rPr>
          <w:sz w:val="24"/>
        </w:rPr>
        <w:t>12</w:t>
      </w:r>
      <w:r w:rsidRPr="000D03B4">
        <w:rPr>
          <w:sz w:val="24"/>
        </w:rPr>
        <w:t>项，如表</w:t>
      </w:r>
      <w:r w:rsidRPr="000D03B4">
        <w:rPr>
          <w:sz w:val="24"/>
        </w:rPr>
        <w:t>3</w:t>
      </w:r>
      <w:r w:rsidRPr="000D03B4">
        <w:rPr>
          <w:sz w:val="24"/>
        </w:rPr>
        <w:t>所示。</w:t>
      </w:r>
    </w:p>
    <w:p w14:paraId="0057F327" w14:textId="6C394DB1" w:rsidR="00285493" w:rsidRPr="000D03B4" w:rsidRDefault="00285493" w:rsidP="00DF1F3F">
      <w:pPr>
        <w:snapToGrid w:val="0"/>
        <w:jc w:val="center"/>
        <w:rPr>
          <w:b/>
          <w:sz w:val="24"/>
          <w:szCs w:val="28"/>
        </w:rPr>
      </w:pPr>
      <w:r w:rsidRPr="000D03B4">
        <w:rPr>
          <w:b/>
          <w:sz w:val="24"/>
          <w:szCs w:val="28"/>
        </w:rPr>
        <w:t>表</w:t>
      </w:r>
      <w:r w:rsidRPr="000D03B4">
        <w:rPr>
          <w:b/>
          <w:sz w:val="24"/>
          <w:szCs w:val="28"/>
        </w:rPr>
        <w:t xml:space="preserve">3 </w:t>
      </w:r>
      <w:r w:rsidRPr="000D03B4">
        <w:rPr>
          <w:b/>
          <w:sz w:val="24"/>
          <w:szCs w:val="28"/>
        </w:rPr>
        <w:t>评价类业务</w:t>
      </w:r>
    </w:p>
    <w:tbl>
      <w:tblPr>
        <w:tblW w:w="4940" w:type="pct"/>
        <w:tblInd w:w="108" w:type="dxa"/>
        <w:tblLook w:val="04A0" w:firstRow="1" w:lastRow="0" w:firstColumn="1" w:lastColumn="0" w:noHBand="0" w:noVBand="1"/>
      </w:tblPr>
      <w:tblGrid>
        <w:gridCol w:w="611"/>
        <w:gridCol w:w="3156"/>
        <w:gridCol w:w="636"/>
        <w:gridCol w:w="4492"/>
      </w:tblGrid>
      <w:tr w:rsidR="00285493" w:rsidRPr="000D03B4" w14:paraId="28863E63" w14:textId="77777777" w:rsidTr="00346971">
        <w:trPr>
          <w:trHeight w:val="20"/>
          <w:tblHeader/>
        </w:trPr>
        <w:tc>
          <w:tcPr>
            <w:tcW w:w="211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917CA07" w14:textId="77777777" w:rsidR="00285493" w:rsidRPr="000D03B4" w:rsidRDefault="00285493" w:rsidP="00E622DB">
            <w:pPr>
              <w:jc w:val="center"/>
              <w:rPr>
                <w:b/>
              </w:rPr>
            </w:pPr>
            <w:r w:rsidRPr="000D03B4">
              <w:rPr>
                <w:b/>
              </w:rPr>
              <w:t>需求方</w:t>
            </w:r>
          </w:p>
        </w:tc>
        <w:tc>
          <w:tcPr>
            <w:tcW w:w="2883" w:type="pct"/>
            <w:gridSpan w:val="2"/>
            <w:tcBorders>
              <w:top w:val="single" w:sz="4" w:space="0" w:color="auto"/>
              <w:left w:val="nil"/>
              <w:bottom w:val="single" w:sz="4" w:space="0" w:color="auto"/>
              <w:right w:val="single" w:sz="4" w:space="0" w:color="000000"/>
            </w:tcBorders>
            <w:shd w:val="clear" w:color="auto" w:fill="auto"/>
            <w:vAlign w:val="center"/>
            <w:hideMark/>
          </w:tcPr>
          <w:p w14:paraId="30AE447D" w14:textId="76B1449B" w:rsidR="00285493" w:rsidRPr="000D03B4" w:rsidRDefault="00285493" w:rsidP="00E622DB">
            <w:pPr>
              <w:jc w:val="center"/>
              <w:rPr>
                <w:b/>
              </w:rPr>
            </w:pPr>
            <w:r w:rsidRPr="000D03B4">
              <w:rPr>
                <w:b/>
              </w:rPr>
              <w:t>触发资产评估</w:t>
            </w:r>
            <w:r w:rsidR="004C1D48" w:rsidRPr="000D03B4">
              <w:rPr>
                <w:b/>
              </w:rPr>
              <w:t>行业</w:t>
            </w:r>
            <w:r w:rsidRPr="000D03B4">
              <w:rPr>
                <w:b/>
              </w:rPr>
              <w:t>业务的具体经济行为</w:t>
            </w:r>
          </w:p>
        </w:tc>
      </w:tr>
      <w:tr w:rsidR="00285493" w:rsidRPr="000D03B4" w14:paraId="070CDFD3" w14:textId="77777777" w:rsidTr="00346971">
        <w:trPr>
          <w:trHeight w:val="20"/>
        </w:trPr>
        <w:tc>
          <w:tcPr>
            <w:tcW w:w="377" w:type="pct"/>
            <w:vMerge w:val="restart"/>
            <w:tcBorders>
              <w:top w:val="nil"/>
              <w:left w:val="single" w:sz="4" w:space="0" w:color="auto"/>
              <w:right w:val="single" w:sz="4" w:space="0" w:color="auto"/>
            </w:tcBorders>
            <w:shd w:val="clear" w:color="auto" w:fill="auto"/>
            <w:noWrap/>
            <w:vAlign w:val="center"/>
            <w:hideMark/>
          </w:tcPr>
          <w:p w14:paraId="411420AD" w14:textId="77777777" w:rsidR="00285493" w:rsidRPr="000D03B4" w:rsidRDefault="00285493" w:rsidP="009B4991">
            <w:r w:rsidRPr="000D03B4">
              <w:t>2.1</w:t>
            </w:r>
          </w:p>
        </w:tc>
        <w:tc>
          <w:tcPr>
            <w:tcW w:w="1740" w:type="pct"/>
            <w:vMerge w:val="restart"/>
            <w:tcBorders>
              <w:top w:val="nil"/>
              <w:left w:val="single" w:sz="4" w:space="0" w:color="auto"/>
              <w:right w:val="single" w:sz="4" w:space="0" w:color="auto"/>
            </w:tcBorders>
            <w:shd w:val="clear" w:color="auto" w:fill="auto"/>
            <w:noWrap/>
            <w:vAlign w:val="center"/>
            <w:hideMark/>
          </w:tcPr>
          <w:p w14:paraId="3C3655FA" w14:textId="77777777" w:rsidR="00285493" w:rsidRPr="000D03B4" w:rsidRDefault="00285493" w:rsidP="009B4991">
            <w:r w:rsidRPr="000D03B4">
              <w:t>企业</w:t>
            </w:r>
          </w:p>
        </w:tc>
        <w:tc>
          <w:tcPr>
            <w:tcW w:w="324" w:type="pct"/>
            <w:tcBorders>
              <w:top w:val="nil"/>
              <w:left w:val="nil"/>
              <w:bottom w:val="single" w:sz="4" w:space="0" w:color="auto"/>
              <w:right w:val="single" w:sz="4" w:space="0" w:color="auto"/>
            </w:tcBorders>
            <w:shd w:val="clear" w:color="auto" w:fill="auto"/>
            <w:noWrap/>
            <w:vAlign w:val="center"/>
            <w:hideMark/>
          </w:tcPr>
          <w:p w14:paraId="0B8D3C74" w14:textId="77777777" w:rsidR="00285493" w:rsidRPr="000D03B4" w:rsidRDefault="00285493" w:rsidP="009B4991">
            <w:r w:rsidRPr="000D03B4">
              <w:t>2.1.1</w:t>
            </w:r>
          </w:p>
        </w:tc>
        <w:tc>
          <w:tcPr>
            <w:tcW w:w="2559" w:type="pct"/>
            <w:tcBorders>
              <w:top w:val="nil"/>
              <w:left w:val="nil"/>
              <w:bottom w:val="single" w:sz="4" w:space="0" w:color="auto"/>
              <w:right w:val="single" w:sz="4" w:space="0" w:color="auto"/>
            </w:tcBorders>
            <w:shd w:val="clear" w:color="auto" w:fill="auto"/>
            <w:noWrap/>
            <w:vAlign w:val="center"/>
            <w:hideMark/>
          </w:tcPr>
          <w:p w14:paraId="4454DF72" w14:textId="77777777" w:rsidR="00285493" w:rsidRPr="000D03B4" w:rsidRDefault="00285493" w:rsidP="009B4991">
            <w:r w:rsidRPr="000D03B4">
              <w:t>企业绩效评价</w:t>
            </w:r>
          </w:p>
        </w:tc>
      </w:tr>
      <w:tr w:rsidR="00285493" w:rsidRPr="000D03B4" w14:paraId="7D2F6BEF" w14:textId="77777777" w:rsidTr="00346971">
        <w:trPr>
          <w:trHeight w:val="20"/>
        </w:trPr>
        <w:tc>
          <w:tcPr>
            <w:tcW w:w="377" w:type="pct"/>
            <w:vMerge/>
            <w:tcBorders>
              <w:left w:val="single" w:sz="4" w:space="0" w:color="auto"/>
              <w:right w:val="single" w:sz="4" w:space="0" w:color="auto"/>
            </w:tcBorders>
            <w:shd w:val="clear" w:color="auto" w:fill="auto"/>
            <w:vAlign w:val="center"/>
            <w:hideMark/>
          </w:tcPr>
          <w:p w14:paraId="13F3591A" w14:textId="77777777" w:rsidR="00285493" w:rsidRPr="000D03B4" w:rsidRDefault="00285493" w:rsidP="009B4991"/>
        </w:tc>
        <w:tc>
          <w:tcPr>
            <w:tcW w:w="1740" w:type="pct"/>
            <w:vMerge/>
            <w:tcBorders>
              <w:left w:val="single" w:sz="4" w:space="0" w:color="auto"/>
              <w:right w:val="single" w:sz="4" w:space="0" w:color="auto"/>
            </w:tcBorders>
            <w:shd w:val="clear" w:color="auto" w:fill="auto"/>
            <w:vAlign w:val="center"/>
            <w:hideMark/>
          </w:tcPr>
          <w:p w14:paraId="79ADFDCD" w14:textId="77777777" w:rsidR="00285493" w:rsidRPr="000D03B4" w:rsidRDefault="00285493" w:rsidP="009B4991"/>
        </w:tc>
        <w:tc>
          <w:tcPr>
            <w:tcW w:w="324" w:type="pct"/>
            <w:tcBorders>
              <w:top w:val="nil"/>
              <w:left w:val="nil"/>
              <w:bottom w:val="single" w:sz="4" w:space="0" w:color="auto"/>
              <w:right w:val="single" w:sz="4" w:space="0" w:color="auto"/>
            </w:tcBorders>
            <w:shd w:val="clear" w:color="auto" w:fill="auto"/>
            <w:noWrap/>
            <w:vAlign w:val="center"/>
            <w:hideMark/>
          </w:tcPr>
          <w:p w14:paraId="22EEACFE" w14:textId="77777777" w:rsidR="00285493" w:rsidRPr="000D03B4" w:rsidRDefault="00285493" w:rsidP="009B4991">
            <w:r w:rsidRPr="000D03B4">
              <w:t>2.1.2</w:t>
            </w:r>
          </w:p>
        </w:tc>
        <w:tc>
          <w:tcPr>
            <w:tcW w:w="2559" w:type="pct"/>
            <w:tcBorders>
              <w:top w:val="nil"/>
              <w:left w:val="nil"/>
              <w:bottom w:val="single" w:sz="4" w:space="0" w:color="auto"/>
              <w:right w:val="single" w:sz="4" w:space="0" w:color="auto"/>
            </w:tcBorders>
            <w:shd w:val="clear" w:color="auto" w:fill="auto"/>
            <w:noWrap/>
            <w:vAlign w:val="center"/>
            <w:hideMark/>
          </w:tcPr>
          <w:p w14:paraId="396F4824" w14:textId="77777777" w:rsidR="00285493" w:rsidRPr="000D03B4" w:rsidRDefault="00285493" w:rsidP="009B4991">
            <w:r w:rsidRPr="000D03B4">
              <w:t>金融企业绩效评价</w:t>
            </w:r>
          </w:p>
        </w:tc>
      </w:tr>
      <w:tr w:rsidR="00285493" w:rsidRPr="000D03B4" w14:paraId="269CA380" w14:textId="77777777" w:rsidTr="00346971">
        <w:trPr>
          <w:trHeight w:val="20"/>
        </w:trPr>
        <w:tc>
          <w:tcPr>
            <w:tcW w:w="377" w:type="pct"/>
            <w:vMerge/>
            <w:tcBorders>
              <w:left w:val="single" w:sz="4" w:space="0" w:color="auto"/>
              <w:right w:val="single" w:sz="4" w:space="0" w:color="auto"/>
            </w:tcBorders>
            <w:shd w:val="clear" w:color="auto" w:fill="auto"/>
            <w:vAlign w:val="center"/>
            <w:hideMark/>
          </w:tcPr>
          <w:p w14:paraId="1F4CAE61" w14:textId="77777777" w:rsidR="00285493" w:rsidRPr="000D03B4" w:rsidRDefault="00285493" w:rsidP="009B4991"/>
        </w:tc>
        <w:tc>
          <w:tcPr>
            <w:tcW w:w="1740" w:type="pct"/>
            <w:vMerge/>
            <w:tcBorders>
              <w:left w:val="single" w:sz="4" w:space="0" w:color="auto"/>
              <w:right w:val="single" w:sz="4" w:space="0" w:color="auto"/>
            </w:tcBorders>
            <w:shd w:val="clear" w:color="auto" w:fill="auto"/>
            <w:vAlign w:val="center"/>
            <w:hideMark/>
          </w:tcPr>
          <w:p w14:paraId="5BCA9122" w14:textId="77777777" w:rsidR="00285493" w:rsidRPr="000D03B4" w:rsidRDefault="00285493" w:rsidP="009B4991"/>
        </w:tc>
        <w:tc>
          <w:tcPr>
            <w:tcW w:w="324" w:type="pct"/>
            <w:tcBorders>
              <w:top w:val="nil"/>
              <w:left w:val="nil"/>
              <w:bottom w:val="single" w:sz="4" w:space="0" w:color="auto"/>
              <w:right w:val="single" w:sz="4" w:space="0" w:color="auto"/>
            </w:tcBorders>
            <w:shd w:val="clear" w:color="auto" w:fill="auto"/>
            <w:noWrap/>
            <w:vAlign w:val="center"/>
            <w:hideMark/>
          </w:tcPr>
          <w:p w14:paraId="052EB3A6" w14:textId="77777777" w:rsidR="00285493" w:rsidRPr="000D03B4" w:rsidRDefault="00285493" w:rsidP="009B4991">
            <w:r w:rsidRPr="000D03B4">
              <w:t>2.1.3</w:t>
            </w:r>
          </w:p>
        </w:tc>
        <w:tc>
          <w:tcPr>
            <w:tcW w:w="2559" w:type="pct"/>
            <w:tcBorders>
              <w:top w:val="nil"/>
              <w:left w:val="nil"/>
              <w:bottom w:val="single" w:sz="4" w:space="0" w:color="auto"/>
              <w:right w:val="single" w:sz="4" w:space="0" w:color="auto"/>
            </w:tcBorders>
            <w:shd w:val="clear" w:color="auto" w:fill="auto"/>
            <w:noWrap/>
            <w:vAlign w:val="center"/>
            <w:hideMark/>
          </w:tcPr>
          <w:p w14:paraId="6BAEA92A" w14:textId="77777777" w:rsidR="00285493" w:rsidRPr="000D03B4" w:rsidRDefault="00285493" w:rsidP="009B4991">
            <w:r w:rsidRPr="000D03B4">
              <w:t>现代服务业综合试点工作绩效评价</w:t>
            </w:r>
          </w:p>
        </w:tc>
      </w:tr>
      <w:tr w:rsidR="00285493" w:rsidRPr="000D03B4" w14:paraId="345C722C" w14:textId="77777777" w:rsidTr="00346971">
        <w:trPr>
          <w:trHeight w:val="20"/>
        </w:trPr>
        <w:tc>
          <w:tcPr>
            <w:tcW w:w="377" w:type="pct"/>
            <w:vMerge/>
            <w:tcBorders>
              <w:left w:val="single" w:sz="4" w:space="0" w:color="auto"/>
              <w:right w:val="single" w:sz="4" w:space="0" w:color="auto"/>
            </w:tcBorders>
            <w:shd w:val="clear" w:color="auto" w:fill="auto"/>
            <w:vAlign w:val="center"/>
            <w:hideMark/>
          </w:tcPr>
          <w:p w14:paraId="6239270F" w14:textId="77777777" w:rsidR="00285493" w:rsidRPr="000D03B4" w:rsidRDefault="00285493" w:rsidP="009B4991"/>
        </w:tc>
        <w:tc>
          <w:tcPr>
            <w:tcW w:w="1740" w:type="pct"/>
            <w:vMerge/>
            <w:tcBorders>
              <w:left w:val="single" w:sz="4" w:space="0" w:color="auto"/>
              <w:right w:val="single" w:sz="4" w:space="0" w:color="auto"/>
            </w:tcBorders>
            <w:shd w:val="clear" w:color="auto" w:fill="auto"/>
            <w:vAlign w:val="center"/>
            <w:hideMark/>
          </w:tcPr>
          <w:p w14:paraId="459C682E" w14:textId="77777777" w:rsidR="00285493" w:rsidRPr="000D03B4" w:rsidRDefault="00285493" w:rsidP="009B4991"/>
        </w:tc>
        <w:tc>
          <w:tcPr>
            <w:tcW w:w="324" w:type="pct"/>
            <w:tcBorders>
              <w:top w:val="nil"/>
              <w:left w:val="nil"/>
              <w:bottom w:val="single" w:sz="4" w:space="0" w:color="auto"/>
              <w:right w:val="single" w:sz="4" w:space="0" w:color="auto"/>
            </w:tcBorders>
            <w:shd w:val="clear" w:color="auto" w:fill="auto"/>
            <w:noWrap/>
            <w:vAlign w:val="center"/>
            <w:hideMark/>
          </w:tcPr>
          <w:p w14:paraId="1C557E9C" w14:textId="77777777" w:rsidR="00285493" w:rsidRPr="000D03B4" w:rsidRDefault="00285493" w:rsidP="009B4991">
            <w:r w:rsidRPr="000D03B4">
              <w:t>2.1.4</w:t>
            </w:r>
          </w:p>
        </w:tc>
        <w:tc>
          <w:tcPr>
            <w:tcW w:w="2559" w:type="pct"/>
            <w:tcBorders>
              <w:top w:val="nil"/>
              <w:left w:val="nil"/>
              <w:bottom w:val="single" w:sz="4" w:space="0" w:color="auto"/>
              <w:right w:val="single" w:sz="4" w:space="0" w:color="auto"/>
            </w:tcBorders>
            <w:shd w:val="clear" w:color="auto" w:fill="auto"/>
            <w:noWrap/>
            <w:vAlign w:val="center"/>
            <w:hideMark/>
          </w:tcPr>
          <w:p w14:paraId="16E6EE9B" w14:textId="77777777" w:rsidR="00285493" w:rsidRPr="000D03B4" w:rsidRDefault="00285493" w:rsidP="009B4991">
            <w:r w:rsidRPr="000D03B4">
              <w:t>上市公司业绩评价</w:t>
            </w:r>
          </w:p>
        </w:tc>
      </w:tr>
      <w:tr w:rsidR="00285493" w:rsidRPr="000D03B4" w14:paraId="587C201F" w14:textId="77777777" w:rsidTr="00346971">
        <w:trPr>
          <w:trHeight w:val="20"/>
        </w:trPr>
        <w:tc>
          <w:tcPr>
            <w:tcW w:w="377" w:type="pct"/>
            <w:vMerge/>
            <w:tcBorders>
              <w:left w:val="single" w:sz="4" w:space="0" w:color="auto"/>
              <w:right w:val="single" w:sz="4" w:space="0" w:color="auto"/>
            </w:tcBorders>
            <w:shd w:val="clear" w:color="auto" w:fill="auto"/>
            <w:vAlign w:val="center"/>
            <w:hideMark/>
          </w:tcPr>
          <w:p w14:paraId="5994CEDC" w14:textId="77777777" w:rsidR="00285493" w:rsidRPr="000D03B4" w:rsidRDefault="00285493" w:rsidP="009B4991"/>
        </w:tc>
        <w:tc>
          <w:tcPr>
            <w:tcW w:w="1740" w:type="pct"/>
            <w:vMerge/>
            <w:tcBorders>
              <w:left w:val="single" w:sz="4" w:space="0" w:color="auto"/>
              <w:right w:val="single" w:sz="4" w:space="0" w:color="auto"/>
            </w:tcBorders>
            <w:shd w:val="clear" w:color="auto" w:fill="auto"/>
            <w:vAlign w:val="center"/>
            <w:hideMark/>
          </w:tcPr>
          <w:p w14:paraId="3CD0B5B3" w14:textId="77777777" w:rsidR="00285493" w:rsidRPr="000D03B4" w:rsidRDefault="00285493" w:rsidP="009B4991"/>
        </w:tc>
        <w:tc>
          <w:tcPr>
            <w:tcW w:w="324" w:type="pct"/>
            <w:tcBorders>
              <w:top w:val="nil"/>
              <w:left w:val="nil"/>
              <w:bottom w:val="single" w:sz="4" w:space="0" w:color="auto"/>
              <w:right w:val="single" w:sz="4" w:space="0" w:color="auto"/>
            </w:tcBorders>
            <w:shd w:val="clear" w:color="auto" w:fill="auto"/>
            <w:noWrap/>
            <w:vAlign w:val="center"/>
            <w:hideMark/>
          </w:tcPr>
          <w:p w14:paraId="2DD75D75" w14:textId="77777777" w:rsidR="00285493" w:rsidRPr="000D03B4" w:rsidRDefault="00285493" w:rsidP="009B4991">
            <w:r w:rsidRPr="000D03B4">
              <w:t>2.1.5</w:t>
            </w:r>
          </w:p>
        </w:tc>
        <w:tc>
          <w:tcPr>
            <w:tcW w:w="2559" w:type="pct"/>
            <w:tcBorders>
              <w:top w:val="nil"/>
              <w:left w:val="nil"/>
              <w:bottom w:val="single" w:sz="4" w:space="0" w:color="auto"/>
              <w:right w:val="single" w:sz="4" w:space="0" w:color="auto"/>
            </w:tcBorders>
            <w:shd w:val="clear" w:color="auto" w:fill="auto"/>
            <w:noWrap/>
            <w:vAlign w:val="center"/>
            <w:hideMark/>
          </w:tcPr>
          <w:p w14:paraId="3A292BA5" w14:textId="3A6864A9" w:rsidR="00285493" w:rsidRPr="000D03B4" w:rsidRDefault="00285493" w:rsidP="00BC21B8">
            <w:r w:rsidRPr="000D03B4">
              <w:t>企业</w:t>
            </w:r>
            <w:r w:rsidR="00BC21B8" w:rsidRPr="000D03B4">
              <w:t>内部</w:t>
            </w:r>
            <w:r w:rsidRPr="000D03B4">
              <w:t>控制评价</w:t>
            </w:r>
          </w:p>
        </w:tc>
      </w:tr>
      <w:tr w:rsidR="00285493" w:rsidRPr="000D03B4" w14:paraId="5E1AC475" w14:textId="77777777" w:rsidTr="00346971">
        <w:trPr>
          <w:trHeight w:val="20"/>
        </w:trPr>
        <w:tc>
          <w:tcPr>
            <w:tcW w:w="377" w:type="pct"/>
            <w:vMerge/>
            <w:tcBorders>
              <w:left w:val="single" w:sz="4" w:space="0" w:color="auto"/>
              <w:bottom w:val="single" w:sz="4" w:space="0" w:color="auto"/>
              <w:right w:val="single" w:sz="4" w:space="0" w:color="auto"/>
            </w:tcBorders>
            <w:shd w:val="clear" w:color="auto" w:fill="auto"/>
            <w:vAlign w:val="center"/>
          </w:tcPr>
          <w:p w14:paraId="2CE93488" w14:textId="77777777" w:rsidR="00285493" w:rsidRPr="000D03B4" w:rsidRDefault="00285493" w:rsidP="009B4991"/>
        </w:tc>
        <w:tc>
          <w:tcPr>
            <w:tcW w:w="1740" w:type="pct"/>
            <w:vMerge/>
            <w:tcBorders>
              <w:left w:val="single" w:sz="4" w:space="0" w:color="auto"/>
              <w:bottom w:val="single" w:sz="4" w:space="0" w:color="auto"/>
              <w:right w:val="single" w:sz="4" w:space="0" w:color="auto"/>
            </w:tcBorders>
            <w:shd w:val="clear" w:color="auto" w:fill="auto"/>
            <w:vAlign w:val="center"/>
          </w:tcPr>
          <w:p w14:paraId="09911522" w14:textId="77777777" w:rsidR="00285493" w:rsidRPr="000D03B4" w:rsidRDefault="00285493" w:rsidP="009B4991"/>
        </w:tc>
        <w:tc>
          <w:tcPr>
            <w:tcW w:w="324" w:type="pct"/>
            <w:tcBorders>
              <w:top w:val="nil"/>
              <w:left w:val="nil"/>
              <w:bottom w:val="single" w:sz="4" w:space="0" w:color="auto"/>
              <w:right w:val="single" w:sz="4" w:space="0" w:color="auto"/>
            </w:tcBorders>
            <w:shd w:val="clear" w:color="auto" w:fill="auto"/>
            <w:noWrap/>
            <w:vAlign w:val="center"/>
          </w:tcPr>
          <w:p w14:paraId="1DE47705" w14:textId="77777777" w:rsidR="00285493" w:rsidRPr="000D03B4" w:rsidRDefault="00285493" w:rsidP="009B4991">
            <w:r w:rsidRPr="000D03B4">
              <w:t>2.1.6</w:t>
            </w:r>
          </w:p>
        </w:tc>
        <w:tc>
          <w:tcPr>
            <w:tcW w:w="2559" w:type="pct"/>
            <w:tcBorders>
              <w:top w:val="nil"/>
              <w:left w:val="nil"/>
              <w:bottom w:val="single" w:sz="4" w:space="0" w:color="auto"/>
              <w:right w:val="single" w:sz="4" w:space="0" w:color="auto"/>
            </w:tcBorders>
            <w:shd w:val="clear" w:color="auto" w:fill="auto"/>
            <w:noWrap/>
            <w:vAlign w:val="center"/>
          </w:tcPr>
          <w:p w14:paraId="60B6C119" w14:textId="77777777" w:rsidR="00285493" w:rsidRPr="000D03B4" w:rsidRDefault="00285493" w:rsidP="009B4991">
            <w:r w:rsidRPr="000D03B4">
              <w:t>品牌评价</w:t>
            </w:r>
          </w:p>
        </w:tc>
      </w:tr>
      <w:tr w:rsidR="00285493" w:rsidRPr="000D03B4" w14:paraId="09966458" w14:textId="77777777" w:rsidTr="00346971">
        <w:trPr>
          <w:trHeight w:val="20"/>
        </w:trPr>
        <w:tc>
          <w:tcPr>
            <w:tcW w:w="3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3EF9751" w14:textId="77777777" w:rsidR="00285493" w:rsidRPr="000D03B4" w:rsidRDefault="00285493" w:rsidP="009B4991">
            <w:r w:rsidRPr="000D03B4">
              <w:t>2.2</w:t>
            </w:r>
          </w:p>
        </w:tc>
        <w:tc>
          <w:tcPr>
            <w:tcW w:w="17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8CDDF5" w14:textId="050D2AD9" w:rsidR="00285493" w:rsidRPr="000D03B4" w:rsidRDefault="00A9572A" w:rsidP="009B4991">
            <w:r w:rsidRPr="000D03B4">
              <w:t>财政部门和预算部门</w:t>
            </w:r>
            <w:r w:rsidR="007D1D75" w:rsidRPr="000D03B4">
              <w:t>（单位）</w:t>
            </w:r>
            <w:r w:rsidRPr="000D03B4">
              <w:t>等</w:t>
            </w:r>
          </w:p>
        </w:tc>
        <w:tc>
          <w:tcPr>
            <w:tcW w:w="324" w:type="pct"/>
            <w:tcBorders>
              <w:top w:val="nil"/>
              <w:left w:val="nil"/>
              <w:bottom w:val="single" w:sz="4" w:space="0" w:color="auto"/>
              <w:right w:val="single" w:sz="4" w:space="0" w:color="auto"/>
            </w:tcBorders>
            <w:shd w:val="clear" w:color="auto" w:fill="auto"/>
            <w:noWrap/>
            <w:vAlign w:val="center"/>
            <w:hideMark/>
          </w:tcPr>
          <w:p w14:paraId="0C2BF08D" w14:textId="77777777" w:rsidR="00285493" w:rsidRPr="000D03B4" w:rsidRDefault="00285493" w:rsidP="009B4991">
            <w:r w:rsidRPr="000D03B4">
              <w:t>2.2.1</w:t>
            </w:r>
          </w:p>
        </w:tc>
        <w:tc>
          <w:tcPr>
            <w:tcW w:w="2559" w:type="pct"/>
            <w:tcBorders>
              <w:top w:val="nil"/>
              <w:left w:val="nil"/>
              <w:bottom w:val="single" w:sz="4" w:space="0" w:color="auto"/>
              <w:right w:val="single" w:sz="4" w:space="0" w:color="auto"/>
            </w:tcBorders>
            <w:shd w:val="clear" w:color="auto" w:fill="auto"/>
            <w:noWrap/>
            <w:vAlign w:val="center"/>
            <w:hideMark/>
          </w:tcPr>
          <w:p w14:paraId="0CB7FDF5" w14:textId="2A16EAFD" w:rsidR="00285493" w:rsidRPr="000D03B4" w:rsidRDefault="00285493" w:rsidP="00C66298">
            <w:r w:rsidRPr="000D03B4">
              <w:t>财政</w:t>
            </w:r>
            <w:r w:rsidR="00C66298" w:rsidRPr="000D03B4">
              <w:t>支出绩效</w:t>
            </w:r>
            <w:r w:rsidRPr="000D03B4">
              <w:t>评价</w:t>
            </w:r>
          </w:p>
        </w:tc>
      </w:tr>
      <w:tr w:rsidR="00285493" w:rsidRPr="000D03B4" w14:paraId="3D533FC5" w14:textId="77777777" w:rsidTr="00346971">
        <w:trPr>
          <w:trHeight w:val="20"/>
        </w:trPr>
        <w:tc>
          <w:tcPr>
            <w:tcW w:w="377" w:type="pct"/>
            <w:vMerge/>
            <w:tcBorders>
              <w:top w:val="nil"/>
              <w:left w:val="single" w:sz="4" w:space="0" w:color="auto"/>
              <w:bottom w:val="single" w:sz="4" w:space="0" w:color="auto"/>
              <w:right w:val="single" w:sz="4" w:space="0" w:color="auto"/>
            </w:tcBorders>
            <w:shd w:val="clear" w:color="auto" w:fill="auto"/>
            <w:vAlign w:val="center"/>
            <w:hideMark/>
          </w:tcPr>
          <w:p w14:paraId="69942A41" w14:textId="77777777" w:rsidR="00285493" w:rsidRPr="000D03B4" w:rsidRDefault="00285493" w:rsidP="009B4991"/>
        </w:tc>
        <w:tc>
          <w:tcPr>
            <w:tcW w:w="1740" w:type="pct"/>
            <w:vMerge/>
            <w:tcBorders>
              <w:top w:val="nil"/>
              <w:left w:val="single" w:sz="4" w:space="0" w:color="auto"/>
              <w:bottom w:val="single" w:sz="4" w:space="0" w:color="auto"/>
              <w:right w:val="single" w:sz="4" w:space="0" w:color="auto"/>
            </w:tcBorders>
            <w:shd w:val="clear" w:color="auto" w:fill="auto"/>
            <w:vAlign w:val="center"/>
            <w:hideMark/>
          </w:tcPr>
          <w:p w14:paraId="7425F8D8" w14:textId="77777777" w:rsidR="00285493" w:rsidRPr="000D03B4" w:rsidRDefault="00285493" w:rsidP="009B4991"/>
        </w:tc>
        <w:tc>
          <w:tcPr>
            <w:tcW w:w="324" w:type="pct"/>
            <w:tcBorders>
              <w:top w:val="nil"/>
              <w:left w:val="nil"/>
              <w:bottom w:val="single" w:sz="4" w:space="0" w:color="auto"/>
              <w:right w:val="single" w:sz="4" w:space="0" w:color="auto"/>
            </w:tcBorders>
            <w:shd w:val="clear" w:color="auto" w:fill="auto"/>
            <w:noWrap/>
            <w:vAlign w:val="center"/>
            <w:hideMark/>
          </w:tcPr>
          <w:p w14:paraId="6FC8729F" w14:textId="77777777" w:rsidR="00285493" w:rsidRPr="000D03B4" w:rsidRDefault="00285493" w:rsidP="009B4991">
            <w:r w:rsidRPr="000D03B4">
              <w:t>2.2.2</w:t>
            </w:r>
          </w:p>
        </w:tc>
        <w:tc>
          <w:tcPr>
            <w:tcW w:w="2559" w:type="pct"/>
            <w:tcBorders>
              <w:top w:val="nil"/>
              <w:left w:val="nil"/>
              <w:bottom w:val="single" w:sz="4" w:space="0" w:color="auto"/>
              <w:right w:val="single" w:sz="4" w:space="0" w:color="auto"/>
            </w:tcBorders>
            <w:shd w:val="clear" w:color="auto" w:fill="auto"/>
            <w:noWrap/>
            <w:vAlign w:val="center"/>
            <w:hideMark/>
          </w:tcPr>
          <w:p w14:paraId="77E23D36" w14:textId="77777777" w:rsidR="00285493" w:rsidRPr="000D03B4" w:rsidRDefault="00285493" w:rsidP="009B4991">
            <w:r w:rsidRPr="000D03B4">
              <w:t>国有资本经营预算支出项目绩效评价</w:t>
            </w:r>
          </w:p>
        </w:tc>
      </w:tr>
      <w:tr w:rsidR="00285493" w:rsidRPr="000D03B4" w14:paraId="38CE5E19" w14:textId="77777777" w:rsidTr="00346971">
        <w:trPr>
          <w:trHeight w:val="20"/>
        </w:trPr>
        <w:tc>
          <w:tcPr>
            <w:tcW w:w="377" w:type="pct"/>
            <w:vMerge/>
            <w:tcBorders>
              <w:top w:val="nil"/>
              <w:left w:val="single" w:sz="4" w:space="0" w:color="auto"/>
              <w:bottom w:val="single" w:sz="4" w:space="0" w:color="auto"/>
              <w:right w:val="single" w:sz="4" w:space="0" w:color="auto"/>
            </w:tcBorders>
            <w:shd w:val="clear" w:color="auto" w:fill="auto"/>
            <w:vAlign w:val="center"/>
            <w:hideMark/>
          </w:tcPr>
          <w:p w14:paraId="3DC24BD9" w14:textId="77777777" w:rsidR="00285493" w:rsidRPr="000D03B4" w:rsidRDefault="00285493" w:rsidP="009B4991"/>
        </w:tc>
        <w:tc>
          <w:tcPr>
            <w:tcW w:w="1740" w:type="pct"/>
            <w:vMerge/>
            <w:tcBorders>
              <w:top w:val="nil"/>
              <w:left w:val="single" w:sz="4" w:space="0" w:color="auto"/>
              <w:bottom w:val="single" w:sz="4" w:space="0" w:color="auto"/>
              <w:right w:val="single" w:sz="4" w:space="0" w:color="auto"/>
            </w:tcBorders>
            <w:shd w:val="clear" w:color="auto" w:fill="auto"/>
            <w:vAlign w:val="center"/>
            <w:hideMark/>
          </w:tcPr>
          <w:p w14:paraId="61E49128" w14:textId="77777777" w:rsidR="00285493" w:rsidRPr="000D03B4" w:rsidRDefault="00285493" w:rsidP="009B4991"/>
        </w:tc>
        <w:tc>
          <w:tcPr>
            <w:tcW w:w="324" w:type="pct"/>
            <w:tcBorders>
              <w:top w:val="nil"/>
              <w:left w:val="nil"/>
              <w:bottom w:val="single" w:sz="4" w:space="0" w:color="auto"/>
              <w:right w:val="single" w:sz="4" w:space="0" w:color="auto"/>
            </w:tcBorders>
            <w:shd w:val="clear" w:color="auto" w:fill="auto"/>
            <w:noWrap/>
            <w:vAlign w:val="center"/>
            <w:hideMark/>
          </w:tcPr>
          <w:p w14:paraId="18A196C2" w14:textId="77777777" w:rsidR="00285493" w:rsidRPr="000D03B4" w:rsidRDefault="00285493" w:rsidP="009B4991">
            <w:r w:rsidRPr="000D03B4">
              <w:t>2.2.3</w:t>
            </w:r>
          </w:p>
        </w:tc>
        <w:tc>
          <w:tcPr>
            <w:tcW w:w="2559" w:type="pct"/>
            <w:tcBorders>
              <w:top w:val="nil"/>
              <w:left w:val="nil"/>
              <w:bottom w:val="single" w:sz="4" w:space="0" w:color="auto"/>
              <w:right w:val="single" w:sz="4" w:space="0" w:color="auto"/>
            </w:tcBorders>
            <w:shd w:val="clear" w:color="auto" w:fill="auto"/>
            <w:noWrap/>
            <w:vAlign w:val="center"/>
            <w:hideMark/>
          </w:tcPr>
          <w:p w14:paraId="0A21412F" w14:textId="77777777" w:rsidR="00285493" w:rsidRPr="000D03B4" w:rsidRDefault="00285493" w:rsidP="009B4991">
            <w:r w:rsidRPr="000D03B4">
              <w:t>中小企业发展专项资金评审</w:t>
            </w:r>
          </w:p>
        </w:tc>
      </w:tr>
      <w:tr w:rsidR="00285493" w:rsidRPr="000D03B4" w14:paraId="2412E51A" w14:textId="77777777" w:rsidTr="00346971">
        <w:trPr>
          <w:trHeight w:val="20"/>
        </w:trPr>
        <w:tc>
          <w:tcPr>
            <w:tcW w:w="377" w:type="pct"/>
            <w:vMerge/>
            <w:tcBorders>
              <w:top w:val="nil"/>
              <w:left w:val="single" w:sz="4" w:space="0" w:color="auto"/>
              <w:bottom w:val="single" w:sz="4" w:space="0" w:color="auto"/>
              <w:right w:val="single" w:sz="4" w:space="0" w:color="auto"/>
            </w:tcBorders>
            <w:shd w:val="clear" w:color="auto" w:fill="auto"/>
            <w:vAlign w:val="center"/>
            <w:hideMark/>
          </w:tcPr>
          <w:p w14:paraId="5FFCBD7F" w14:textId="77777777" w:rsidR="00285493" w:rsidRPr="000D03B4" w:rsidRDefault="00285493" w:rsidP="009B4991"/>
        </w:tc>
        <w:tc>
          <w:tcPr>
            <w:tcW w:w="1740" w:type="pct"/>
            <w:vMerge/>
            <w:tcBorders>
              <w:top w:val="nil"/>
              <w:left w:val="single" w:sz="4" w:space="0" w:color="auto"/>
              <w:bottom w:val="single" w:sz="4" w:space="0" w:color="auto"/>
              <w:right w:val="single" w:sz="4" w:space="0" w:color="auto"/>
            </w:tcBorders>
            <w:shd w:val="clear" w:color="auto" w:fill="auto"/>
            <w:vAlign w:val="center"/>
            <w:hideMark/>
          </w:tcPr>
          <w:p w14:paraId="7DFE97DC" w14:textId="77777777" w:rsidR="00285493" w:rsidRPr="000D03B4" w:rsidRDefault="00285493" w:rsidP="009B4991"/>
        </w:tc>
        <w:tc>
          <w:tcPr>
            <w:tcW w:w="324" w:type="pct"/>
            <w:tcBorders>
              <w:top w:val="nil"/>
              <w:left w:val="nil"/>
              <w:bottom w:val="single" w:sz="4" w:space="0" w:color="auto"/>
              <w:right w:val="single" w:sz="4" w:space="0" w:color="auto"/>
            </w:tcBorders>
            <w:shd w:val="clear" w:color="auto" w:fill="auto"/>
            <w:noWrap/>
            <w:vAlign w:val="center"/>
            <w:hideMark/>
          </w:tcPr>
          <w:p w14:paraId="2B14D440" w14:textId="77777777" w:rsidR="00285493" w:rsidRPr="000D03B4" w:rsidRDefault="00285493" w:rsidP="009B4991">
            <w:r w:rsidRPr="000D03B4">
              <w:t>2.2.4</w:t>
            </w:r>
          </w:p>
        </w:tc>
        <w:tc>
          <w:tcPr>
            <w:tcW w:w="2559" w:type="pct"/>
            <w:tcBorders>
              <w:top w:val="nil"/>
              <w:left w:val="nil"/>
              <w:bottom w:val="single" w:sz="4" w:space="0" w:color="auto"/>
              <w:right w:val="single" w:sz="4" w:space="0" w:color="auto"/>
            </w:tcBorders>
            <w:shd w:val="clear" w:color="auto" w:fill="auto"/>
            <w:noWrap/>
            <w:vAlign w:val="center"/>
            <w:hideMark/>
          </w:tcPr>
          <w:p w14:paraId="591F6281" w14:textId="77777777" w:rsidR="00285493" w:rsidRPr="000D03B4" w:rsidRDefault="00285493" w:rsidP="009B4991">
            <w:r w:rsidRPr="000D03B4">
              <w:t>政府出资产业投资基金的绩效评价</w:t>
            </w:r>
          </w:p>
        </w:tc>
      </w:tr>
      <w:tr w:rsidR="00285493" w:rsidRPr="000D03B4" w14:paraId="5BE10156" w14:textId="77777777" w:rsidTr="00346971">
        <w:trPr>
          <w:trHeight w:val="20"/>
        </w:trPr>
        <w:tc>
          <w:tcPr>
            <w:tcW w:w="377" w:type="pct"/>
            <w:vMerge/>
            <w:tcBorders>
              <w:top w:val="nil"/>
              <w:left w:val="single" w:sz="4" w:space="0" w:color="auto"/>
              <w:bottom w:val="single" w:sz="4" w:space="0" w:color="auto"/>
              <w:right w:val="single" w:sz="4" w:space="0" w:color="auto"/>
            </w:tcBorders>
            <w:shd w:val="clear" w:color="auto" w:fill="auto"/>
            <w:vAlign w:val="center"/>
            <w:hideMark/>
          </w:tcPr>
          <w:p w14:paraId="03EBE20D" w14:textId="77777777" w:rsidR="00285493" w:rsidRPr="000D03B4" w:rsidRDefault="00285493" w:rsidP="009B4991"/>
        </w:tc>
        <w:tc>
          <w:tcPr>
            <w:tcW w:w="1740" w:type="pct"/>
            <w:vMerge/>
            <w:tcBorders>
              <w:top w:val="nil"/>
              <w:left w:val="single" w:sz="4" w:space="0" w:color="auto"/>
              <w:bottom w:val="single" w:sz="4" w:space="0" w:color="auto"/>
              <w:right w:val="single" w:sz="4" w:space="0" w:color="auto"/>
            </w:tcBorders>
            <w:shd w:val="clear" w:color="auto" w:fill="auto"/>
            <w:vAlign w:val="center"/>
            <w:hideMark/>
          </w:tcPr>
          <w:p w14:paraId="0B4BCAC4" w14:textId="77777777" w:rsidR="00285493" w:rsidRPr="000D03B4" w:rsidRDefault="00285493" w:rsidP="009B4991"/>
        </w:tc>
        <w:tc>
          <w:tcPr>
            <w:tcW w:w="324" w:type="pct"/>
            <w:tcBorders>
              <w:top w:val="nil"/>
              <w:left w:val="nil"/>
              <w:bottom w:val="single" w:sz="4" w:space="0" w:color="auto"/>
              <w:right w:val="single" w:sz="4" w:space="0" w:color="auto"/>
            </w:tcBorders>
            <w:shd w:val="clear" w:color="auto" w:fill="auto"/>
            <w:noWrap/>
            <w:vAlign w:val="center"/>
            <w:hideMark/>
          </w:tcPr>
          <w:p w14:paraId="75AE83F6" w14:textId="77777777" w:rsidR="00285493" w:rsidRPr="000D03B4" w:rsidRDefault="00285493" w:rsidP="009B4991">
            <w:r w:rsidRPr="000D03B4">
              <w:t>2.2.5</w:t>
            </w:r>
          </w:p>
        </w:tc>
        <w:tc>
          <w:tcPr>
            <w:tcW w:w="2559" w:type="pct"/>
            <w:tcBorders>
              <w:top w:val="nil"/>
              <w:left w:val="nil"/>
              <w:bottom w:val="single" w:sz="4" w:space="0" w:color="auto"/>
              <w:right w:val="single" w:sz="4" w:space="0" w:color="auto"/>
            </w:tcBorders>
            <w:shd w:val="clear" w:color="auto" w:fill="auto"/>
            <w:noWrap/>
            <w:vAlign w:val="center"/>
            <w:hideMark/>
          </w:tcPr>
          <w:p w14:paraId="43096E80" w14:textId="77777777" w:rsidR="00285493" w:rsidRPr="000D03B4" w:rsidRDefault="00285493" w:rsidP="009B4991">
            <w:r w:rsidRPr="000D03B4">
              <w:t>政府投资基金绩效评价</w:t>
            </w:r>
          </w:p>
        </w:tc>
      </w:tr>
      <w:tr w:rsidR="00285493" w:rsidRPr="000D03B4" w14:paraId="6D8BC3CE" w14:textId="77777777" w:rsidTr="00346971">
        <w:trPr>
          <w:trHeight w:val="20"/>
        </w:trPr>
        <w:tc>
          <w:tcPr>
            <w:tcW w:w="377" w:type="pct"/>
            <w:vMerge/>
            <w:tcBorders>
              <w:top w:val="nil"/>
              <w:left w:val="single" w:sz="4" w:space="0" w:color="auto"/>
              <w:bottom w:val="single" w:sz="4" w:space="0" w:color="auto"/>
              <w:right w:val="single" w:sz="4" w:space="0" w:color="auto"/>
            </w:tcBorders>
            <w:shd w:val="clear" w:color="auto" w:fill="auto"/>
            <w:vAlign w:val="center"/>
            <w:hideMark/>
          </w:tcPr>
          <w:p w14:paraId="61FD1C1A" w14:textId="77777777" w:rsidR="00285493" w:rsidRPr="000D03B4" w:rsidRDefault="00285493" w:rsidP="009B4991"/>
        </w:tc>
        <w:tc>
          <w:tcPr>
            <w:tcW w:w="1740" w:type="pct"/>
            <w:vMerge/>
            <w:tcBorders>
              <w:top w:val="nil"/>
              <w:left w:val="single" w:sz="4" w:space="0" w:color="auto"/>
              <w:bottom w:val="single" w:sz="4" w:space="0" w:color="auto"/>
              <w:right w:val="single" w:sz="4" w:space="0" w:color="auto"/>
            </w:tcBorders>
            <w:shd w:val="clear" w:color="auto" w:fill="auto"/>
            <w:vAlign w:val="center"/>
            <w:hideMark/>
          </w:tcPr>
          <w:p w14:paraId="462C05CF" w14:textId="77777777" w:rsidR="00285493" w:rsidRPr="000D03B4" w:rsidRDefault="00285493" w:rsidP="009B4991"/>
        </w:tc>
        <w:tc>
          <w:tcPr>
            <w:tcW w:w="324" w:type="pct"/>
            <w:tcBorders>
              <w:top w:val="nil"/>
              <w:left w:val="nil"/>
              <w:bottom w:val="single" w:sz="4" w:space="0" w:color="auto"/>
              <w:right w:val="single" w:sz="4" w:space="0" w:color="auto"/>
            </w:tcBorders>
            <w:shd w:val="clear" w:color="auto" w:fill="auto"/>
            <w:noWrap/>
            <w:vAlign w:val="center"/>
            <w:hideMark/>
          </w:tcPr>
          <w:p w14:paraId="21E7B36A" w14:textId="77777777" w:rsidR="00285493" w:rsidRPr="000D03B4" w:rsidRDefault="00285493" w:rsidP="009B4991">
            <w:r w:rsidRPr="000D03B4">
              <w:t>2.2.6</w:t>
            </w:r>
          </w:p>
        </w:tc>
        <w:tc>
          <w:tcPr>
            <w:tcW w:w="2559" w:type="pct"/>
            <w:tcBorders>
              <w:top w:val="nil"/>
              <w:left w:val="nil"/>
              <w:bottom w:val="single" w:sz="4" w:space="0" w:color="auto"/>
              <w:right w:val="single" w:sz="4" w:space="0" w:color="auto"/>
            </w:tcBorders>
            <w:shd w:val="clear" w:color="auto" w:fill="auto"/>
            <w:noWrap/>
            <w:vAlign w:val="center"/>
            <w:hideMark/>
          </w:tcPr>
          <w:p w14:paraId="50DA9B7C" w14:textId="6A588C94" w:rsidR="00285493" w:rsidRPr="000D03B4" w:rsidRDefault="00285493" w:rsidP="00044753">
            <w:r w:rsidRPr="000D03B4">
              <w:t>“</w:t>
            </w:r>
            <w:r w:rsidRPr="000D03B4">
              <w:t>互联网</w:t>
            </w:r>
            <w:r w:rsidRPr="000D03B4">
              <w:t>+</w:t>
            </w:r>
            <w:r w:rsidRPr="000D03B4">
              <w:t>流通</w:t>
            </w:r>
            <w:r w:rsidRPr="000D03B4">
              <w:t>”</w:t>
            </w:r>
            <w:r w:rsidRPr="000D03B4">
              <w:t>发展基金评价</w:t>
            </w:r>
          </w:p>
        </w:tc>
      </w:tr>
    </w:tbl>
    <w:p w14:paraId="25E394EC" w14:textId="77777777" w:rsidR="00285493" w:rsidRPr="000D03B4" w:rsidRDefault="00285493" w:rsidP="009B4991"/>
    <w:p w14:paraId="2859E808" w14:textId="34BC6DEF" w:rsidR="00506AE0" w:rsidRPr="000D03B4" w:rsidRDefault="00285493" w:rsidP="00C9592A">
      <w:pPr>
        <w:spacing w:line="276" w:lineRule="auto"/>
        <w:ind w:firstLineChars="200" w:firstLine="482"/>
        <w:rPr>
          <w:b/>
          <w:sz w:val="24"/>
        </w:rPr>
      </w:pPr>
      <w:bookmarkStart w:id="132" w:name="_Toc10395395"/>
      <w:bookmarkEnd w:id="129"/>
      <w:bookmarkEnd w:id="130"/>
      <w:bookmarkEnd w:id="131"/>
      <w:r w:rsidRPr="000D03B4">
        <w:rPr>
          <w:b/>
          <w:sz w:val="24"/>
        </w:rPr>
        <w:t>（一）企业评价类业务需求</w:t>
      </w:r>
      <w:bookmarkEnd w:id="132"/>
    </w:p>
    <w:p w14:paraId="57F7ACAB" w14:textId="16C2BD52" w:rsidR="00D435AB" w:rsidRPr="000D03B4" w:rsidRDefault="00285493" w:rsidP="00C9592A">
      <w:pPr>
        <w:spacing w:line="276" w:lineRule="auto"/>
        <w:ind w:firstLineChars="200" w:firstLine="480"/>
        <w:rPr>
          <w:sz w:val="24"/>
        </w:rPr>
      </w:pPr>
      <w:bookmarkStart w:id="133" w:name="_Toc10395396"/>
      <w:r w:rsidRPr="000D03B4">
        <w:rPr>
          <w:sz w:val="24"/>
        </w:rPr>
        <w:t>1.</w:t>
      </w:r>
      <w:r w:rsidR="00D435AB" w:rsidRPr="000D03B4">
        <w:rPr>
          <w:sz w:val="24"/>
        </w:rPr>
        <w:t>业务来源</w:t>
      </w:r>
      <w:bookmarkEnd w:id="133"/>
    </w:p>
    <w:p w14:paraId="53A80998" w14:textId="0CAA2C2C" w:rsidR="00D435AB" w:rsidRPr="000D03B4" w:rsidRDefault="00AF5E5C" w:rsidP="00AF5E5C">
      <w:pPr>
        <w:spacing w:line="276" w:lineRule="auto"/>
        <w:ind w:firstLineChars="200" w:firstLine="480"/>
        <w:rPr>
          <w:sz w:val="24"/>
        </w:rPr>
      </w:pPr>
      <w:r w:rsidRPr="000D03B4">
        <w:rPr>
          <w:rFonts w:hint="eastAsia"/>
          <w:sz w:val="24"/>
        </w:rPr>
        <w:t>企业触发评价类业务需求的具体经济行为主要包括绩效评价、内部控制评价和品牌评价等。其中绩效评价又大致可分为企业绩效评价、金融企业绩效评价、现代服务业综合试点工作绩效评价、上市公司业绩评价等。</w:t>
      </w:r>
    </w:p>
    <w:p w14:paraId="7084E528" w14:textId="3910BD12" w:rsidR="00D435AB" w:rsidRPr="000D03B4" w:rsidRDefault="00285493" w:rsidP="00C9592A">
      <w:pPr>
        <w:spacing w:line="276" w:lineRule="auto"/>
        <w:ind w:firstLineChars="200" w:firstLine="480"/>
        <w:rPr>
          <w:sz w:val="24"/>
        </w:rPr>
      </w:pPr>
      <w:bookmarkStart w:id="134" w:name="_Toc10395397"/>
      <w:r w:rsidRPr="000D03B4">
        <w:rPr>
          <w:sz w:val="24"/>
        </w:rPr>
        <w:t>2.</w:t>
      </w:r>
      <w:r w:rsidR="00D435AB" w:rsidRPr="000D03B4">
        <w:rPr>
          <w:sz w:val="24"/>
        </w:rPr>
        <w:t>文件依据</w:t>
      </w:r>
      <w:bookmarkEnd w:id="134"/>
    </w:p>
    <w:p w14:paraId="197276D7" w14:textId="384FEE34" w:rsidR="00094345" w:rsidRPr="000D03B4" w:rsidRDefault="00285493" w:rsidP="00105EDE">
      <w:pPr>
        <w:spacing w:line="276" w:lineRule="auto"/>
        <w:ind w:firstLineChars="200" w:firstLine="480"/>
        <w:jc w:val="left"/>
        <w:rPr>
          <w:sz w:val="24"/>
        </w:rPr>
      </w:pPr>
      <w:r w:rsidRPr="000D03B4">
        <w:rPr>
          <w:sz w:val="24"/>
        </w:rPr>
        <w:t>（</w:t>
      </w:r>
      <w:r w:rsidRPr="000D03B4">
        <w:rPr>
          <w:sz w:val="24"/>
        </w:rPr>
        <w:t>1</w:t>
      </w:r>
      <w:r w:rsidRPr="000D03B4">
        <w:rPr>
          <w:sz w:val="24"/>
        </w:rPr>
        <w:t>）</w:t>
      </w:r>
      <w:r w:rsidR="00094345" w:rsidRPr="000D03B4">
        <w:rPr>
          <w:sz w:val="24"/>
        </w:rPr>
        <w:t>《中央企业综合绩效评价管理暂行办法》（国资委令第</w:t>
      </w:r>
      <w:r w:rsidR="00094345" w:rsidRPr="000D03B4">
        <w:rPr>
          <w:sz w:val="24"/>
        </w:rPr>
        <w:t>14</w:t>
      </w:r>
      <w:r w:rsidR="00094345" w:rsidRPr="000D03B4">
        <w:rPr>
          <w:sz w:val="24"/>
        </w:rPr>
        <w:t>号）；</w:t>
      </w:r>
    </w:p>
    <w:p w14:paraId="5745E77A" w14:textId="1438949C" w:rsidR="00094345" w:rsidRPr="000D03B4" w:rsidRDefault="00285493" w:rsidP="00105EDE">
      <w:pPr>
        <w:spacing w:line="276" w:lineRule="auto"/>
        <w:ind w:firstLineChars="200" w:firstLine="480"/>
        <w:jc w:val="left"/>
        <w:rPr>
          <w:sz w:val="24"/>
        </w:rPr>
      </w:pPr>
      <w:r w:rsidRPr="000D03B4">
        <w:rPr>
          <w:sz w:val="24"/>
        </w:rPr>
        <w:t>（</w:t>
      </w:r>
      <w:r w:rsidRPr="000D03B4">
        <w:rPr>
          <w:sz w:val="24"/>
        </w:rPr>
        <w:t>2</w:t>
      </w:r>
      <w:r w:rsidRPr="000D03B4">
        <w:rPr>
          <w:sz w:val="24"/>
        </w:rPr>
        <w:t>）</w:t>
      </w:r>
      <w:r w:rsidR="00094345" w:rsidRPr="000D03B4">
        <w:rPr>
          <w:sz w:val="24"/>
        </w:rPr>
        <w:t>《中央企业综合绩效评价实施细则》（国</w:t>
      </w:r>
      <w:proofErr w:type="gramStart"/>
      <w:r w:rsidR="00094345" w:rsidRPr="000D03B4">
        <w:rPr>
          <w:sz w:val="24"/>
        </w:rPr>
        <w:t>资发评价</w:t>
      </w:r>
      <w:proofErr w:type="gramEnd"/>
      <w:r w:rsidR="00094345" w:rsidRPr="000D03B4">
        <w:rPr>
          <w:sz w:val="24"/>
        </w:rPr>
        <w:t>〔</w:t>
      </w:r>
      <w:r w:rsidR="00094345" w:rsidRPr="000D03B4">
        <w:rPr>
          <w:sz w:val="24"/>
        </w:rPr>
        <w:t>2006</w:t>
      </w:r>
      <w:r w:rsidR="00094345" w:rsidRPr="000D03B4">
        <w:rPr>
          <w:sz w:val="24"/>
        </w:rPr>
        <w:t>〕</w:t>
      </w:r>
      <w:r w:rsidR="00094345" w:rsidRPr="000D03B4">
        <w:rPr>
          <w:sz w:val="24"/>
        </w:rPr>
        <w:t>157</w:t>
      </w:r>
      <w:r w:rsidR="00094345" w:rsidRPr="000D03B4">
        <w:rPr>
          <w:sz w:val="24"/>
        </w:rPr>
        <w:t>号）；</w:t>
      </w:r>
    </w:p>
    <w:p w14:paraId="2FCE1733" w14:textId="32966392" w:rsidR="00094345" w:rsidRPr="000D03B4" w:rsidRDefault="00285493" w:rsidP="00105EDE">
      <w:pPr>
        <w:spacing w:line="276" w:lineRule="auto"/>
        <w:ind w:firstLineChars="200" w:firstLine="480"/>
        <w:jc w:val="left"/>
        <w:rPr>
          <w:sz w:val="24"/>
        </w:rPr>
      </w:pPr>
      <w:r w:rsidRPr="000D03B4">
        <w:rPr>
          <w:sz w:val="24"/>
        </w:rPr>
        <w:t>（</w:t>
      </w:r>
      <w:r w:rsidRPr="000D03B4">
        <w:rPr>
          <w:sz w:val="24"/>
        </w:rPr>
        <w:t>3</w:t>
      </w:r>
      <w:r w:rsidRPr="000D03B4">
        <w:rPr>
          <w:sz w:val="24"/>
        </w:rPr>
        <w:t>）</w:t>
      </w:r>
      <w:r w:rsidR="00094345" w:rsidRPr="000D03B4">
        <w:rPr>
          <w:sz w:val="24"/>
        </w:rPr>
        <w:t>《金融企业绩效评价办法》（财金〔</w:t>
      </w:r>
      <w:r w:rsidR="00094345" w:rsidRPr="000D03B4">
        <w:rPr>
          <w:sz w:val="24"/>
        </w:rPr>
        <w:t>2011</w:t>
      </w:r>
      <w:r w:rsidR="00094345" w:rsidRPr="000D03B4">
        <w:rPr>
          <w:sz w:val="24"/>
        </w:rPr>
        <w:t>〕</w:t>
      </w:r>
      <w:r w:rsidR="00094345" w:rsidRPr="000D03B4">
        <w:rPr>
          <w:sz w:val="24"/>
        </w:rPr>
        <w:t>50</w:t>
      </w:r>
      <w:r w:rsidR="00094345" w:rsidRPr="000D03B4">
        <w:rPr>
          <w:sz w:val="24"/>
        </w:rPr>
        <w:t>号）；</w:t>
      </w:r>
    </w:p>
    <w:p w14:paraId="105CDE3D" w14:textId="79434D29" w:rsidR="00094345" w:rsidRPr="000D03B4" w:rsidRDefault="00285493" w:rsidP="00105EDE">
      <w:pPr>
        <w:spacing w:line="276" w:lineRule="auto"/>
        <w:ind w:firstLineChars="200" w:firstLine="480"/>
        <w:jc w:val="left"/>
        <w:rPr>
          <w:sz w:val="24"/>
        </w:rPr>
      </w:pPr>
      <w:r w:rsidRPr="000D03B4">
        <w:rPr>
          <w:sz w:val="24"/>
        </w:rPr>
        <w:t>（</w:t>
      </w:r>
      <w:r w:rsidRPr="000D03B4">
        <w:rPr>
          <w:sz w:val="24"/>
        </w:rPr>
        <w:t>4</w:t>
      </w:r>
      <w:r w:rsidRPr="000D03B4">
        <w:rPr>
          <w:sz w:val="24"/>
        </w:rPr>
        <w:t>）</w:t>
      </w:r>
      <w:r w:rsidR="00094345" w:rsidRPr="000D03B4">
        <w:rPr>
          <w:sz w:val="24"/>
        </w:rPr>
        <w:t>《现代服务业综合试点工作绩效评价管理办法》</w:t>
      </w:r>
      <w:r w:rsidR="00365357" w:rsidRPr="000D03B4">
        <w:rPr>
          <w:sz w:val="24"/>
        </w:rPr>
        <w:t>（</w:t>
      </w:r>
      <w:proofErr w:type="gramStart"/>
      <w:r w:rsidR="00094345" w:rsidRPr="000D03B4">
        <w:rPr>
          <w:sz w:val="24"/>
        </w:rPr>
        <w:t>财建〔</w:t>
      </w:r>
      <w:r w:rsidR="00094345" w:rsidRPr="000D03B4">
        <w:rPr>
          <w:sz w:val="24"/>
        </w:rPr>
        <w:t>2012</w:t>
      </w:r>
      <w:r w:rsidR="00094345" w:rsidRPr="000D03B4">
        <w:rPr>
          <w:sz w:val="24"/>
        </w:rPr>
        <w:t>〕</w:t>
      </w:r>
      <w:proofErr w:type="gramEnd"/>
      <w:r w:rsidR="00094345" w:rsidRPr="000D03B4">
        <w:rPr>
          <w:sz w:val="24"/>
        </w:rPr>
        <w:t>863</w:t>
      </w:r>
      <w:r w:rsidR="00094345" w:rsidRPr="000D03B4">
        <w:rPr>
          <w:sz w:val="24"/>
        </w:rPr>
        <w:t>号</w:t>
      </w:r>
      <w:r w:rsidR="00365357" w:rsidRPr="000D03B4">
        <w:rPr>
          <w:sz w:val="24"/>
        </w:rPr>
        <w:t>）</w:t>
      </w:r>
      <w:r w:rsidR="006247F5" w:rsidRPr="000D03B4">
        <w:rPr>
          <w:sz w:val="24"/>
        </w:rPr>
        <w:t>；</w:t>
      </w:r>
    </w:p>
    <w:p w14:paraId="3E388092" w14:textId="21DDEB49" w:rsidR="00094345" w:rsidRPr="000D03B4" w:rsidRDefault="00285493" w:rsidP="00105EDE">
      <w:pPr>
        <w:spacing w:line="276" w:lineRule="auto"/>
        <w:ind w:firstLineChars="200" w:firstLine="480"/>
        <w:jc w:val="left"/>
        <w:rPr>
          <w:sz w:val="24"/>
        </w:rPr>
      </w:pPr>
      <w:r w:rsidRPr="000D03B4">
        <w:rPr>
          <w:sz w:val="24"/>
        </w:rPr>
        <w:t>（</w:t>
      </w:r>
      <w:r w:rsidR="006247F5" w:rsidRPr="000D03B4">
        <w:rPr>
          <w:sz w:val="24"/>
        </w:rPr>
        <w:t>5</w:t>
      </w:r>
      <w:r w:rsidRPr="000D03B4">
        <w:rPr>
          <w:sz w:val="24"/>
        </w:rPr>
        <w:t>）</w:t>
      </w:r>
      <w:r w:rsidR="00094345" w:rsidRPr="000D03B4">
        <w:rPr>
          <w:sz w:val="24"/>
        </w:rPr>
        <w:t>《企业内部控制基本规范》（财会〔</w:t>
      </w:r>
      <w:r w:rsidR="00094345" w:rsidRPr="000D03B4">
        <w:rPr>
          <w:sz w:val="24"/>
        </w:rPr>
        <w:t>2008</w:t>
      </w:r>
      <w:r w:rsidR="00094345" w:rsidRPr="000D03B4">
        <w:rPr>
          <w:sz w:val="24"/>
        </w:rPr>
        <w:t>〕</w:t>
      </w:r>
      <w:r w:rsidR="00094345" w:rsidRPr="000D03B4">
        <w:rPr>
          <w:sz w:val="24"/>
        </w:rPr>
        <w:t>7</w:t>
      </w:r>
      <w:r w:rsidR="00094345" w:rsidRPr="000D03B4">
        <w:rPr>
          <w:sz w:val="24"/>
        </w:rPr>
        <w:t>号）；</w:t>
      </w:r>
    </w:p>
    <w:p w14:paraId="5243C8CC" w14:textId="66068F7F" w:rsidR="00D435AB" w:rsidRPr="000D03B4" w:rsidRDefault="00285493" w:rsidP="00105EDE">
      <w:pPr>
        <w:spacing w:line="276" w:lineRule="auto"/>
        <w:ind w:firstLineChars="200" w:firstLine="480"/>
        <w:jc w:val="left"/>
        <w:rPr>
          <w:sz w:val="24"/>
        </w:rPr>
      </w:pPr>
      <w:r w:rsidRPr="000D03B4">
        <w:rPr>
          <w:sz w:val="24"/>
        </w:rPr>
        <w:t>（</w:t>
      </w:r>
      <w:r w:rsidR="006247F5" w:rsidRPr="000D03B4">
        <w:rPr>
          <w:sz w:val="24"/>
        </w:rPr>
        <w:t>6</w:t>
      </w:r>
      <w:r w:rsidRPr="000D03B4">
        <w:rPr>
          <w:sz w:val="24"/>
        </w:rPr>
        <w:t>）</w:t>
      </w:r>
      <w:r w:rsidR="00094345" w:rsidRPr="000D03B4">
        <w:rPr>
          <w:sz w:val="24"/>
        </w:rPr>
        <w:t>《企业内部控制配套指引》</w:t>
      </w:r>
      <w:r w:rsidR="00075C94" w:rsidRPr="000D03B4">
        <w:rPr>
          <w:sz w:val="24"/>
        </w:rPr>
        <w:t>（财会〔</w:t>
      </w:r>
      <w:r w:rsidR="00075C94" w:rsidRPr="000D03B4">
        <w:rPr>
          <w:sz w:val="24"/>
        </w:rPr>
        <w:t>2010</w:t>
      </w:r>
      <w:r w:rsidR="00075C94" w:rsidRPr="000D03B4">
        <w:rPr>
          <w:sz w:val="24"/>
        </w:rPr>
        <w:t>〕</w:t>
      </w:r>
      <w:r w:rsidR="00075C94" w:rsidRPr="000D03B4">
        <w:rPr>
          <w:sz w:val="24"/>
        </w:rPr>
        <w:t>11</w:t>
      </w:r>
      <w:r w:rsidR="00075C94" w:rsidRPr="000D03B4">
        <w:rPr>
          <w:sz w:val="24"/>
        </w:rPr>
        <w:t>号）</w:t>
      </w:r>
      <w:r w:rsidR="00CF63FE">
        <w:rPr>
          <w:rFonts w:hint="eastAsia"/>
          <w:sz w:val="24"/>
        </w:rPr>
        <w:t>等</w:t>
      </w:r>
      <w:r w:rsidR="00094345" w:rsidRPr="000D03B4">
        <w:rPr>
          <w:sz w:val="24"/>
        </w:rPr>
        <w:t>。</w:t>
      </w:r>
    </w:p>
    <w:p w14:paraId="40B231D0" w14:textId="3E1E88BD" w:rsidR="00094345" w:rsidRPr="000D03B4" w:rsidRDefault="00285493" w:rsidP="00C9592A">
      <w:pPr>
        <w:spacing w:line="276" w:lineRule="auto"/>
        <w:ind w:firstLineChars="200" w:firstLine="482"/>
        <w:rPr>
          <w:b/>
          <w:sz w:val="24"/>
        </w:rPr>
      </w:pPr>
      <w:bookmarkStart w:id="135" w:name="_Toc10395400"/>
      <w:r w:rsidRPr="000D03B4">
        <w:rPr>
          <w:b/>
          <w:sz w:val="24"/>
        </w:rPr>
        <w:t>（二）</w:t>
      </w:r>
      <w:r w:rsidR="007B7DEF" w:rsidRPr="000D03B4">
        <w:rPr>
          <w:b/>
          <w:sz w:val="24"/>
        </w:rPr>
        <w:t>财政部门和预算部门</w:t>
      </w:r>
      <w:r w:rsidR="007D1D75" w:rsidRPr="000D03B4">
        <w:rPr>
          <w:b/>
          <w:sz w:val="24"/>
        </w:rPr>
        <w:t>（单位）</w:t>
      </w:r>
      <w:r w:rsidR="007B7DEF" w:rsidRPr="000D03B4">
        <w:rPr>
          <w:b/>
          <w:sz w:val="24"/>
        </w:rPr>
        <w:t>等</w:t>
      </w:r>
      <w:r w:rsidR="00094345" w:rsidRPr="000D03B4">
        <w:rPr>
          <w:b/>
          <w:sz w:val="24"/>
        </w:rPr>
        <w:t>评价类业务需求</w:t>
      </w:r>
      <w:bookmarkEnd w:id="135"/>
    </w:p>
    <w:p w14:paraId="33C6E54C" w14:textId="44CE69C4" w:rsidR="00D435AB" w:rsidRPr="000D03B4" w:rsidRDefault="00285493" w:rsidP="00C9592A">
      <w:pPr>
        <w:spacing w:line="276" w:lineRule="auto"/>
        <w:ind w:firstLineChars="200" w:firstLine="480"/>
        <w:rPr>
          <w:sz w:val="24"/>
        </w:rPr>
      </w:pPr>
      <w:bookmarkStart w:id="136" w:name="_Toc10395401"/>
      <w:r w:rsidRPr="000D03B4">
        <w:rPr>
          <w:sz w:val="24"/>
        </w:rPr>
        <w:t>1.</w:t>
      </w:r>
      <w:r w:rsidR="00D435AB" w:rsidRPr="000D03B4">
        <w:rPr>
          <w:sz w:val="24"/>
        </w:rPr>
        <w:t>业务来源</w:t>
      </w:r>
      <w:bookmarkEnd w:id="136"/>
    </w:p>
    <w:p w14:paraId="7D028754" w14:textId="4E0F167E" w:rsidR="00D435AB" w:rsidRPr="000D03B4" w:rsidRDefault="00AF5E5C" w:rsidP="00AF5E5C">
      <w:pPr>
        <w:spacing w:line="276" w:lineRule="auto"/>
        <w:ind w:firstLineChars="200" w:firstLine="480"/>
        <w:rPr>
          <w:sz w:val="24"/>
        </w:rPr>
      </w:pPr>
      <w:r w:rsidRPr="000D03B4">
        <w:rPr>
          <w:rFonts w:hint="eastAsia"/>
          <w:sz w:val="24"/>
        </w:rPr>
        <w:t>财政部门和预算部门（单位）等触发评价类业务需求的具体经济行为主要包括财政支出绩效评价和政府出资产业投资基金评价等。其中，财政支出绩效评价主要包括财政支出绩效评价、国有资本经营预算支出项目绩效评价、中小企业发展专项资金评审；政府出资产业投资基金评价主要包括政府出资产业投资基金的绩效评价、政府投资基金绩效评价、“互联网</w:t>
      </w:r>
      <w:r w:rsidRPr="000D03B4">
        <w:rPr>
          <w:rFonts w:hint="eastAsia"/>
          <w:sz w:val="24"/>
        </w:rPr>
        <w:t>+</w:t>
      </w:r>
      <w:r w:rsidRPr="000D03B4">
        <w:rPr>
          <w:rFonts w:hint="eastAsia"/>
          <w:sz w:val="24"/>
        </w:rPr>
        <w:t>流通”发展基金评价</w:t>
      </w:r>
      <w:r w:rsidR="00943062">
        <w:rPr>
          <w:rFonts w:hint="eastAsia"/>
          <w:sz w:val="24"/>
        </w:rPr>
        <w:t>等</w:t>
      </w:r>
      <w:r w:rsidRPr="000D03B4">
        <w:rPr>
          <w:rFonts w:hint="eastAsia"/>
          <w:sz w:val="24"/>
        </w:rPr>
        <w:t>。</w:t>
      </w:r>
    </w:p>
    <w:p w14:paraId="65CD5C98" w14:textId="1E47AD9D" w:rsidR="00D435AB" w:rsidRPr="000D03B4" w:rsidRDefault="00285493" w:rsidP="00C9592A">
      <w:pPr>
        <w:spacing w:line="276" w:lineRule="auto"/>
        <w:ind w:firstLineChars="200" w:firstLine="480"/>
        <w:rPr>
          <w:sz w:val="24"/>
        </w:rPr>
      </w:pPr>
      <w:bookmarkStart w:id="137" w:name="_Toc10395402"/>
      <w:r w:rsidRPr="000D03B4">
        <w:rPr>
          <w:sz w:val="24"/>
        </w:rPr>
        <w:t>2.</w:t>
      </w:r>
      <w:r w:rsidR="00D435AB" w:rsidRPr="000D03B4">
        <w:rPr>
          <w:sz w:val="24"/>
        </w:rPr>
        <w:t>文件依据</w:t>
      </w:r>
      <w:bookmarkEnd w:id="137"/>
    </w:p>
    <w:p w14:paraId="249CEC1F" w14:textId="347080DE" w:rsidR="00094345" w:rsidRPr="000D03B4" w:rsidRDefault="00285493" w:rsidP="00105EDE">
      <w:pPr>
        <w:spacing w:line="276" w:lineRule="auto"/>
        <w:ind w:firstLineChars="200" w:firstLine="480"/>
        <w:jc w:val="left"/>
        <w:rPr>
          <w:sz w:val="24"/>
        </w:rPr>
      </w:pPr>
      <w:r w:rsidRPr="000D03B4">
        <w:rPr>
          <w:sz w:val="24"/>
        </w:rPr>
        <w:t>（</w:t>
      </w:r>
      <w:r w:rsidRPr="000D03B4">
        <w:rPr>
          <w:sz w:val="24"/>
        </w:rPr>
        <w:t>1</w:t>
      </w:r>
      <w:r w:rsidRPr="000D03B4">
        <w:rPr>
          <w:sz w:val="24"/>
        </w:rPr>
        <w:t>）</w:t>
      </w:r>
      <w:r w:rsidR="00094345" w:rsidRPr="000D03B4">
        <w:rPr>
          <w:sz w:val="24"/>
        </w:rPr>
        <w:t>《财政</w:t>
      </w:r>
      <w:r w:rsidR="00E97B9E" w:rsidRPr="000D03B4">
        <w:rPr>
          <w:sz w:val="24"/>
        </w:rPr>
        <w:t>支出</w:t>
      </w:r>
      <w:r w:rsidR="00094345" w:rsidRPr="000D03B4">
        <w:rPr>
          <w:sz w:val="24"/>
        </w:rPr>
        <w:t>绩效评价管理暂行办法》（财预〔</w:t>
      </w:r>
      <w:r w:rsidR="00094345" w:rsidRPr="000D03B4">
        <w:rPr>
          <w:sz w:val="24"/>
        </w:rPr>
        <w:t>2011</w:t>
      </w:r>
      <w:r w:rsidR="00094345" w:rsidRPr="000D03B4">
        <w:rPr>
          <w:sz w:val="24"/>
        </w:rPr>
        <w:t>〕</w:t>
      </w:r>
      <w:r w:rsidR="00094345" w:rsidRPr="000D03B4">
        <w:rPr>
          <w:sz w:val="24"/>
        </w:rPr>
        <w:t>285</w:t>
      </w:r>
      <w:r w:rsidR="00094345" w:rsidRPr="000D03B4">
        <w:rPr>
          <w:sz w:val="24"/>
        </w:rPr>
        <w:t>号）；</w:t>
      </w:r>
    </w:p>
    <w:p w14:paraId="4D16756F" w14:textId="575BDBA2" w:rsidR="00094345" w:rsidRPr="000D03B4" w:rsidRDefault="00285493" w:rsidP="00105EDE">
      <w:pPr>
        <w:spacing w:line="276" w:lineRule="auto"/>
        <w:ind w:firstLineChars="200" w:firstLine="480"/>
        <w:jc w:val="left"/>
        <w:rPr>
          <w:sz w:val="24"/>
        </w:rPr>
      </w:pPr>
      <w:r w:rsidRPr="000D03B4">
        <w:rPr>
          <w:sz w:val="24"/>
        </w:rPr>
        <w:t>（</w:t>
      </w:r>
      <w:r w:rsidR="00A9572A" w:rsidRPr="000D03B4">
        <w:rPr>
          <w:sz w:val="24"/>
        </w:rPr>
        <w:t>2</w:t>
      </w:r>
      <w:r w:rsidRPr="000D03B4">
        <w:rPr>
          <w:sz w:val="24"/>
        </w:rPr>
        <w:t>）</w:t>
      </w:r>
      <w:r w:rsidRPr="000D03B4">
        <w:rPr>
          <w:sz w:val="24"/>
        </w:rPr>
        <w:t xml:space="preserve"> </w:t>
      </w:r>
      <w:r w:rsidR="00094345" w:rsidRPr="000D03B4">
        <w:rPr>
          <w:sz w:val="24"/>
        </w:rPr>
        <w:t>《财政部关于印发</w:t>
      </w:r>
      <w:r w:rsidR="00094345" w:rsidRPr="000D03B4">
        <w:rPr>
          <w:sz w:val="24"/>
        </w:rPr>
        <w:t>&lt;</w:t>
      </w:r>
      <w:r w:rsidR="00094345" w:rsidRPr="000D03B4">
        <w:rPr>
          <w:sz w:val="24"/>
        </w:rPr>
        <w:t>加强企业财务信息管理暂行规定</w:t>
      </w:r>
      <w:r w:rsidR="00094345" w:rsidRPr="000D03B4">
        <w:rPr>
          <w:sz w:val="24"/>
        </w:rPr>
        <w:t>&gt;</w:t>
      </w:r>
      <w:r w:rsidR="00094345" w:rsidRPr="000D03B4">
        <w:rPr>
          <w:sz w:val="24"/>
        </w:rPr>
        <w:t>的通知》（财企〔</w:t>
      </w:r>
      <w:r w:rsidR="00094345" w:rsidRPr="000D03B4">
        <w:rPr>
          <w:sz w:val="24"/>
        </w:rPr>
        <w:t>2012</w:t>
      </w:r>
      <w:r w:rsidR="00094345" w:rsidRPr="000D03B4">
        <w:rPr>
          <w:sz w:val="24"/>
        </w:rPr>
        <w:t>〕</w:t>
      </w:r>
      <w:r w:rsidR="00094345" w:rsidRPr="000D03B4">
        <w:rPr>
          <w:sz w:val="24"/>
        </w:rPr>
        <w:t>23</w:t>
      </w:r>
      <w:r w:rsidR="00CF63FE">
        <w:rPr>
          <w:sz w:val="24"/>
        </w:rPr>
        <w:t>号）</w:t>
      </w:r>
      <w:r w:rsidR="00094345" w:rsidRPr="000D03B4">
        <w:rPr>
          <w:sz w:val="24"/>
        </w:rPr>
        <w:t>；</w:t>
      </w:r>
    </w:p>
    <w:p w14:paraId="71A3FF09" w14:textId="5F7DFAD0" w:rsidR="00094345" w:rsidRPr="000D03B4" w:rsidRDefault="00285493" w:rsidP="00105EDE">
      <w:pPr>
        <w:spacing w:line="276" w:lineRule="auto"/>
        <w:ind w:firstLineChars="200" w:firstLine="480"/>
        <w:jc w:val="left"/>
        <w:rPr>
          <w:sz w:val="24"/>
        </w:rPr>
      </w:pPr>
      <w:r w:rsidRPr="000D03B4">
        <w:rPr>
          <w:sz w:val="24"/>
        </w:rPr>
        <w:t>（</w:t>
      </w:r>
      <w:r w:rsidR="00A9572A" w:rsidRPr="000D03B4">
        <w:rPr>
          <w:sz w:val="24"/>
        </w:rPr>
        <w:t>3</w:t>
      </w:r>
      <w:r w:rsidR="008124DB" w:rsidRPr="000D03B4">
        <w:rPr>
          <w:sz w:val="24"/>
        </w:rPr>
        <w:t>）</w:t>
      </w:r>
      <w:r w:rsidR="00094345" w:rsidRPr="000D03B4">
        <w:rPr>
          <w:sz w:val="24"/>
        </w:rPr>
        <w:t>《中小企业发展专项资金管理办法》（</w:t>
      </w:r>
      <w:proofErr w:type="gramStart"/>
      <w:r w:rsidR="00B43F3A" w:rsidRPr="000D03B4">
        <w:rPr>
          <w:sz w:val="24"/>
        </w:rPr>
        <w:t>财建〔</w:t>
      </w:r>
      <w:r w:rsidR="00B43F3A" w:rsidRPr="000D03B4">
        <w:rPr>
          <w:sz w:val="24"/>
        </w:rPr>
        <w:t>2015</w:t>
      </w:r>
      <w:r w:rsidR="00B43F3A" w:rsidRPr="000D03B4">
        <w:rPr>
          <w:sz w:val="24"/>
        </w:rPr>
        <w:t>〕</w:t>
      </w:r>
      <w:proofErr w:type="gramEnd"/>
      <w:r w:rsidR="00B43F3A" w:rsidRPr="000D03B4">
        <w:rPr>
          <w:sz w:val="24"/>
        </w:rPr>
        <w:t>458</w:t>
      </w:r>
      <w:r w:rsidR="00B43F3A" w:rsidRPr="000D03B4">
        <w:rPr>
          <w:sz w:val="24"/>
        </w:rPr>
        <w:t>号</w:t>
      </w:r>
      <w:r w:rsidR="00C529B1" w:rsidRPr="000D03B4">
        <w:rPr>
          <w:sz w:val="24"/>
        </w:rPr>
        <w:t>）</w:t>
      </w:r>
      <w:r w:rsidR="00CE25A1" w:rsidRPr="000D03B4">
        <w:rPr>
          <w:sz w:val="24"/>
        </w:rPr>
        <w:t>；</w:t>
      </w:r>
    </w:p>
    <w:p w14:paraId="1AB4AC32" w14:textId="6AF9071A" w:rsidR="00094345" w:rsidRPr="000D03B4" w:rsidRDefault="00EE02E2" w:rsidP="00105EDE">
      <w:pPr>
        <w:spacing w:line="276" w:lineRule="auto"/>
        <w:ind w:firstLineChars="200" w:firstLine="480"/>
        <w:jc w:val="left"/>
        <w:rPr>
          <w:sz w:val="24"/>
        </w:rPr>
      </w:pPr>
      <w:r w:rsidRPr="000D03B4">
        <w:rPr>
          <w:sz w:val="24"/>
        </w:rPr>
        <w:t>（</w:t>
      </w:r>
      <w:r w:rsidR="008A5469" w:rsidRPr="000D03B4">
        <w:rPr>
          <w:sz w:val="24"/>
        </w:rPr>
        <w:t>4</w:t>
      </w:r>
      <w:r w:rsidRPr="000D03B4">
        <w:rPr>
          <w:sz w:val="24"/>
        </w:rPr>
        <w:t>）</w:t>
      </w:r>
      <w:r w:rsidR="00094345" w:rsidRPr="000D03B4">
        <w:rPr>
          <w:sz w:val="24"/>
        </w:rPr>
        <w:t>《政府出资产业投资基金管理暂行办法》（</w:t>
      </w:r>
      <w:proofErr w:type="gramStart"/>
      <w:r w:rsidR="00094345" w:rsidRPr="000D03B4">
        <w:rPr>
          <w:sz w:val="24"/>
        </w:rPr>
        <w:t>发改财金规</w:t>
      </w:r>
      <w:proofErr w:type="gramEnd"/>
      <w:r w:rsidR="00094345" w:rsidRPr="000D03B4">
        <w:rPr>
          <w:sz w:val="24"/>
        </w:rPr>
        <w:t>〔</w:t>
      </w:r>
      <w:r w:rsidR="00094345" w:rsidRPr="000D03B4">
        <w:rPr>
          <w:sz w:val="24"/>
        </w:rPr>
        <w:t>2016</w:t>
      </w:r>
      <w:r w:rsidR="00094345" w:rsidRPr="000D03B4">
        <w:rPr>
          <w:sz w:val="24"/>
        </w:rPr>
        <w:t>〕</w:t>
      </w:r>
      <w:r w:rsidR="00094345" w:rsidRPr="000D03B4">
        <w:rPr>
          <w:sz w:val="24"/>
        </w:rPr>
        <w:t>2800</w:t>
      </w:r>
      <w:r w:rsidR="00094345" w:rsidRPr="000D03B4">
        <w:rPr>
          <w:sz w:val="24"/>
        </w:rPr>
        <w:t>号）；</w:t>
      </w:r>
    </w:p>
    <w:p w14:paraId="203EB25D" w14:textId="0257694C" w:rsidR="00094345" w:rsidRPr="000D03B4" w:rsidRDefault="00EE02E2" w:rsidP="00105EDE">
      <w:pPr>
        <w:spacing w:line="276" w:lineRule="auto"/>
        <w:ind w:firstLineChars="200" w:firstLine="480"/>
        <w:jc w:val="left"/>
        <w:rPr>
          <w:sz w:val="24"/>
        </w:rPr>
      </w:pPr>
      <w:r w:rsidRPr="000D03B4">
        <w:rPr>
          <w:sz w:val="24"/>
        </w:rPr>
        <w:t>（</w:t>
      </w:r>
      <w:r w:rsidR="008A5469" w:rsidRPr="000D03B4">
        <w:rPr>
          <w:sz w:val="24"/>
        </w:rPr>
        <w:t>5</w:t>
      </w:r>
      <w:r w:rsidRPr="000D03B4">
        <w:rPr>
          <w:sz w:val="24"/>
        </w:rPr>
        <w:t>）</w:t>
      </w:r>
      <w:r w:rsidR="00094345" w:rsidRPr="000D03B4">
        <w:rPr>
          <w:sz w:val="24"/>
        </w:rPr>
        <w:t>《政府投资基金暂行管理办法》（财预〔</w:t>
      </w:r>
      <w:r w:rsidR="00094345" w:rsidRPr="000D03B4">
        <w:rPr>
          <w:sz w:val="24"/>
        </w:rPr>
        <w:t>2015</w:t>
      </w:r>
      <w:r w:rsidR="00094345" w:rsidRPr="000D03B4">
        <w:rPr>
          <w:sz w:val="24"/>
        </w:rPr>
        <w:t>〕</w:t>
      </w:r>
      <w:r w:rsidR="00094345" w:rsidRPr="000D03B4">
        <w:rPr>
          <w:sz w:val="24"/>
        </w:rPr>
        <w:t>210</w:t>
      </w:r>
      <w:r w:rsidR="00094345" w:rsidRPr="000D03B4">
        <w:rPr>
          <w:sz w:val="24"/>
        </w:rPr>
        <w:t>号）；</w:t>
      </w:r>
    </w:p>
    <w:p w14:paraId="204D561B" w14:textId="32D5CCAD" w:rsidR="00094345" w:rsidRPr="000D03B4" w:rsidRDefault="00EE02E2" w:rsidP="00105EDE">
      <w:pPr>
        <w:spacing w:line="276" w:lineRule="auto"/>
        <w:ind w:firstLineChars="200" w:firstLine="480"/>
        <w:jc w:val="left"/>
        <w:rPr>
          <w:sz w:val="24"/>
        </w:rPr>
      </w:pPr>
      <w:r w:rsidRPr="000D03B4">
        <w:rPr>
          <w:sz w:val="24"/>
        </w:rPr>
        <w:t>（</w:t>
      </w:r>
      <w:r w:rsidR="008A5469" w:rsidRPr="000D03B4">
        <w:rPr>
          <w:sz w:val="24"/>
        </w:rPr>
        <w:t>6</w:t>
      </w:r>
      <w:r w:rsidRPr="000D03B4">
        <w:rPr>
          <w:sz w:val="24"/>
        </w:rPr>
        <w:t>）</w:t>
      </w:r>
      <w:r w:rsidR="00094345" w:rsidRPr="000D03B4">
        <w:rPr>
          <w:sz w:val="24"/>
        </w:rPr>
        <w:t>《关于深入实施</w:t>
      </w:r>
      <w:r w:rsidR="00094345" w:rsidRPr="000D03B4">
        <w:rPr>
          <w:sz w:val="24"/>
        </w:rPr>
        <w:t>“</w:t>
      </w:r>
      <w:r w:rsidR="00094345" w:rsidRPr="000D03B4">
        <w:rPr>
          <w:sz w:val="24"/>
        </w:rPr>
        <w:t>互联网</w:t>
      </w:r>
      <w:r w:rsidR="00094345" w:rsidRPr="000D03B4">
        <w:rPr>
          <w:sz w:val="24"/>
        </w:rPr>
        <w:t>+</w:t>
      </w:r>
      <w:r w:rsidR="00094345" w:rsidRPr="000D03B4">
        <w:rPr>
          <w:sz w:val="24"/>
        </w:rPr>
        <w:t>流通</w:t>
      </w:r>
      <w:r w:rsidR="00094345" w:rsidRPr="000D03B4">
        <w:rPr>
          <w:sz w:val="24"/>
        </w:rPr>
        <w:t>”</w:t>
      </w:r>
      <w:r w:rsidR="00094345" w:rsidRPr="000D03B4">
        <w:rPr>
          <w:sz w:val="24"/>
        </w:rPr>
        <w:t>行动计划的意见》（国办发〔</w:t>
      </w:r>
      <w:r w:rsidR="00094345" w:rsidRPr="000D03B4">
        <w:rPr>
          <w:sz w:val="24"/>
        </w:rPr>
        <w:t>2016</w:t>
      </w:r>
      <w:r w:rsidR="00094345" w:rsidRPr="000D03B4">
        <w:rPr>
          <w:sz w:val="24"/>
        </w:rPr>
        <w:t>〕</w:t>
      </w:r>
      <w:r w:rsidR="00094345" w:rsidRPr="000D03B4">
        <w:rPr>
          <w:sz w:val="24"/>
        </w:rPr>
        <w:t>24</w:t>
      </w:r>
      <w:r w:rsidR="00094345" w:rsidRPr="000D03B4">
        <w:rPr>
          <w:sz w:val="24"/>
        </w:rPr>
        <w:t>号）</w:t>
      </w:r>
      <w:r w:rsidR="00F31C48">
        <w:rPr>
          <w:rFonts w:hint="eastAsia"/>
          <w:sz w:val="24"/>
        </w:rPr>
        <w:t>等</w:t>
      </w:r>
      <w:r w:rsidR="00094345" w:rsidRPr="000D03B4">
        <w:rPr>
          <w:sz w:val="24"/>
        </w:rPr>
        <w:t>。</w:t>
      </w:r>
    </w:p>
    <w:p w14:paraId="2B4A314D" w14:textId="1DB71F18" w:rsidR="00031A3A" w:rsidRPr="000D03B4" w:rsidRDefault="009F7A3A" w:rsidP="001B67BB">
      <w:pPr>
        <w:spacing w:line="276" w:lineRule="auto"/>
        <w:ind w:firstLineChars="200" w:firstLine="480"/>
        <w:rPr>
          <w:rFonts w:eastAsia="黑体"/>
          <w:sz w:val="24"/>
        </w:rPr>
      </w:pPr>
      <w:bookmarkStart w:id="138" w:name="_Toc10395405"/>
      <w:bookmarkStart w:id="139" w:name="_Toc13148352"/>
      <w:r w:rsidRPr="000D03B4">
        <w:rPr>
          <w:rFonts w:eastAsia="黑体"/>
          <w:sz w:val="24"/>
        </w:rPr>
        <w:t>三、</w:t>
      </w:r>
      <w:r w:rsidR="00031A3A" w:rsidRPr="000D03B4">
        <w:rPr>
          <w:rFonts w:eastAsia="黑体"/>
          <w:sz w:val="24"/>
        </w:rPr>
        <w:t>咨询类业务</w:t>
      </w:r>
      <w:bookmarkEnd w:id="138"/>
      <w:bookmarkEnd w:id="139"/>
    </w:p>
    <w:p w14:paraId="58521636" w14:textId="3CF7CE3B" w:rsidR="00031A3A" w:rsidRPr="000D03B4" w:rsidRDefault="00DE126D" w:rsidP="00C9592A">
      <w:pPr>
        <w:spacing w:line="276" w:lineRule="auto"/>
        <w:ind w:firstLineChars="200" w:firstLine="480"/>
        <w:rPr>
          <w:sz w:val="24"/>
        </w:rPr>
      </w:pPr>
      <w:r w:rsidRPr="000D03B4">
        <w:rPr>
          <w:sz w:val="24"/>
        </w:rPr>
        <w:lastRenderedPageBreak/>
        <w:t>咨询</w:t>
      </w:r>
      <w:r w:rsidR="000976F9" w:rsidRPr="000D03B4">
        <w:rPr>
          <w:sz w:val="24"/>
        </w:rPr>
        <w:t>类业务涉及企业及其</w:t>
      </w:r>
      <w:proofErr w:type="gramStart"/>
      <w:r w:rsidR="000976F9" w:rsidRPr="000D03B4">
        <w:rPr>
          <w:sz w:val="24"/>
        </w:rPr>
        <w:t>他主体</w:t>
      </w:r>
      <w:proofErr w:type="gramEnd"/>
      <w:r w:rsidR="00C142A4" w:rsidRPr="000D03B4">
        <w:rPr>
          <w:sz w:val="24"/>
        </w:rPr>
        <w:t>等需求方</w:t>
      </w:r>
      <w:r w:rsidR="00916164" w:rsidRPr="000D03B4">
        <w:rPr>
          <w:sz w:val="24"/>
        </w:rPr>
        <w:t>，</w:t>
      </w:r>
      <w:r w:rsidR="00226385" w:rsidRPr="000D03B4">
        <w:rPr>
          <w:sz w:val="24"/>
        </w:rPr>
        <w:t>触发资产</w:t>
      </w:r>
      <w:r w:rsidR="00DF277E" w:rsidRPr="000D03B4">
        <w:rPr>
          <w:sz w:val="24"/>
        </w:rPr>
        <w:t>评估</w:t>
      </w:r>
      <w:r w:rsidR="00D21DAA" w:rsidRPr="000D03B4">
        <w:rPr>
          <w:sz w:val="24"/>
        </w:rPr>
        <w:t>行业</w:t>
      </w:r>
      <w:r w:rsidR="00DF277E" w:rsidRPr="000D03B4">
        <w:rPr>
          <w:sz w:val="24"/>
        </w:rPr>
        <w:t>业务</w:t>
      </w:r>
      <w:r w:rsidR="00226385" w:rsidRPr="000D03B4">
        <w:rPr>
          <w:sz w:val="24"/>
        </w:rPr>
        <w:t>的</w:t>
      </w:r>
      <w:r w:rsidR="00031A3A" w:rsidRPr="000D03B4">
        <w:rPr>
          <w:sz w:val="24"/>
        </w:rPr>
        <w:t>经济行为共计</w:t>
      </w:r>
      <w:r w:rsidR="00031A3A" w:rsidRPr="000D03B4">
        <w:rPr>
          <w:sz w:val="24"/>
        </w:rPr>
        <w:t>29</w:t>
      </w:r>
      <w:r w:rsidR="009B6253" w:rsidRPr="000D03B4">
        <w:rPr>
          <w:sz w:val="24"/>
        </w:rPr>
        <w:t>项，如</w:t>
      </w:r>
      <w:r w:rsidR="00031A3A" w:rsidRPr="000D03B4">
        <w:rPr>
          <w:sz w:val="24"/>
        </w:rPr>
        <w:t>表</w:t>
      </w:r>
      <w:r w:rsidR="009B6253" w:rsidRPr="000D03B4">
        <w:rPr>
          <w:sz w:val="24"/>
        </w:rPr>
        <w:t>4</w:t>
      </w:r>
      <w:r w:rsidR="00031A3A" w:rsidRPr="000D03B4">
        <w:rPr>
          <w:sz w:val="24"/>
        </w:rPr>
        <w:t>所示。</w:t>
      </w:r>
    </w:p>
    <w:p w14:paraId="602AFB25" w14:textId="151B721A" w:rsidR="00031A3A" w:rsidRPr="000D03B4" w:rsidRDefault="00031A3A" w:rsidP="00A745DB">
      <w:pPr>
        <w:snapToGrid w:val="0"/>
        <w:jc w:val="center"/>
        <w:rPr>
          <w:b/>
          <w:sz w:val="24"/>
          <w:szCs w:val="28"/>
        </w:rPr>
      </w:pPr>
      <w:r w:rsidRPr="000D03B4">
        <w:rPr>
          <w:b/>
          <w:sz w:val="24"/>
          <w:szCs w:val="28"/>
        </w:rPr>
        <w:t>表</w:t>
      </w:r>
      <w:r w:rsidR="00E21783" w:rsidRPr="000D03B4">
        <w:rPr>
          <w:b/>
          <w:sz w:val="24"/>
          <w:szCs w:val="28"/>
        </w:rPr>
        <w:t>4</w:t>
      </w:r>
      <w:r w:rsidRPr="000D03B4">
        <w:rPr>
          <w:b/>
          <w:sz w:val="24"/>
          <w:szCs w:val="28"/>
        </w:rPr>
        <w:t xml:space="preserve"> </w:t>
      </w:r>
      <w:r w:rsidRPr="000D03B4">
        <w:rPr>
          <w:b/>
          <w:sz w:val="24"/>
          <w:szCs w:val="28"/>
        </w:rPr>
        <w:t>咨询类业务</w:t>
      </w:r>
    </w:p>
    <w:tbl>
      <w:tblPr>
        <w:tblW w:w="5000" w:type="pct"/>
        <w:tblLook w:val="04A0" w:firstRow="1" w:lastRow="0" w:firstColumn="1" w:lastColumn="0" w:noHBand="0" w:noVBand="1"/>
      </w:tblPr>
      <w:tblGrid>
        <w:gridCol w:w="1243"/>
        <w:gridCol w:w="1705"/>
        <w:gridCol w:w="783"/>
        <w:gridCol w:w="5272"/>
      </w:tblGrid>
      <w:tr w:rsidR="000976F9" w:rsidRPr="000D03B4" w14:paraId="2BFB9082" w14:textId="77777777" w:rsidTr="000976F9">
        <w:trPr>
          <w:trHeight w:val="20"/>
          <w:tblHeader/>
        </w:trPr>
        <w:tc>
          <w:tcPr>
            <w:tcW w:w="163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4CE2D0" w14:textId="1F647A5F" w:rsidR="000976F9" w:rsidRPr="000D03B4" w:rsidRDefault="000976F9" w:rsidP="00A745DB">
            <w:pPr>
              <w:widowControl/>
              <w:snapToGrid w:val="0"/>
              <w:jc w:val="center"/>
              <w:rPr>
                <w:b/>
                <w:bCs/>
                <w:kern w:val="0"/>
                <w:sz w:val="18"/>
                <w:szCs w:val="18"/>
              </w:rPr>
            </w:pPr>
            <w:r w:rsidRPr="000D03B4">
              <w:rPr>
                <w:b/>
                <w:bCs/>
                <w:kern w:val="0"/>
                <w:sz w:val="18"/>
                <w:szCs w:val="18"/>
              </w:rPr>
              <w:t>需求方</w:t>
            </w:r>
          </w:p>
        </w:tc>
        <w:tc>
          <w:tcPr>
            <w:tcW w:w="3363" w:type="pct"/>
            <w:gridSpan w:val="2"/>
            <w:tcBorders>
              <w:top w:val="single" w:sz="4" w:space="0" w:color="auto"/>
              <w:left w:val="nil"/>
              <w:bottom w:val="single" w:sz="4" w:space="0" w:color="auto"/>
              <w:right w:val="single" w:sz="4" w:space="0" w:color="000000"/>
            </w:tcBorders>
            <w:shd w:val="clear" w:color="auto" w:fill="auto"/>
            <w:vAlign w:val="center"/>
            <w:hideMark/>
          </w:tcPr>
          <w:p w14:paraId="11A61836" w14:textId="49E20CCF" w:rsidR="000976F9" w:rsidRPr="000D03B4" w:rsidRDefault="000976F9" w:rsidP="00A745DB">
            <w:pPr>
              <w:widowControl/>
              <w:snapToGrid w:val="0"/>
              <w:jc w:val="center"/>
              <w:rPr>
                <w:b/>
                <w:bCs/>
                <w:kern w:val="0"/>
                <w:sz w:val="18"/>
                <w:szCs w:val="18"/>
              </w:rPr>
            </w:pPr>
            <w:r w:rsidRPr="000D03B4">
              <w:rPr>
                <w:b/>
                <w:bCs/>
                <w:kern w:val="0"/>
                <w:sz w:val="18"/>
                <w:szCs w:val="18"/>
              </w:rPr>
              <w:t>触发资产评估</w:t>
            </w:r>
            <w:r w:rsidR="00A520D5" w:rsidRPr="000D03B4">
              <w:rPr>
                <w:b/>
                <w:bCs/>
                <w:kern w:val="0"/>
                <w:sz w:val="18"/>
                <w:szCs w:val="18"/>
              </w:rPr>
              <w:t>行业</w:t>
            </w:r>
            <w:r w:rsidRPr="000D03B4">
              <w:rPr>
                <w:b/>
                <w:bCs/>
                <w:kern w:val="0"/>
                <w:sz w:val="18"/>
                <w:szCs w:val="18"/>
              </w:rPr>
              <w:t>业务的具体经济行为</w:t>
            </w:r>
          </w:p>
        </w:tc>
      </w:tr>
      <w:tr w:rsidR="000976F9" w:rsidRPr="000D03B4" w14:paraId="067AB3CF" w14:textId="77777777" w:rsidTr="000976F9">
        <w:trPr>
          <w:trHeight w:val="20"/>
        </w:trPr>
        <w:tc>
          <w:tcPr>
            <w:tcW w:w="69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B271B22" w14:textId="77777777" w:rsidR="000976F9" w:rsidRPr="000D03B4" w:rsidRDefault="000976F9" w:rsidP="00A745DB">
            <w:pPr>
              <w:widowControl/>
              <w:snapToGrid w:val="0"/>
              <w:jc w:val="center"/>
              <w:rPr>
                <w:kern w:val="0"/>
                <w:sz w:val="18"/>
                <w:szCs w:val="18"/>
              </w:rPr>
            </w:pPr>
            <w:r w:rsidRPr="000D03B4">
              <w:rPr>
                <w:kern w:val="0"/>
                <w:sz w:val="18"/>
                <w:szCs w:val="18"/>
              </w:rPr>
              <w:t>3.1</w:t>
            </w:r>
          </w:p>
        </w:tc>
        <w:tc>
          <w:tcPr>
            <w:tcW w:w="9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488FCF" w14:textId="77777777" w:rsidR="000976F9" w:rsidRPr="000D03B4" w:rsidRDefault="000976F9" w:rsidP="00A745DB">
            <w:pPr>
              <w:widowControl/>
              <w:snapToGrid w:val="0"/>
              <w:jc w:val="center"/>
              <w:rPr>
                <w:kern w:val="0"/>
                <w:sz w:val="18"/>
                <w:szCs w:val="18"/>
              </w:rPr>
            </w:pPr>
            <w:r w:rsidRPr="000D03B4">
              <w:rPr>
                <w:kern w:val="0"/>
                <w:sz w:val="18"/>
                <w:szCs w:val="18"/>
              </w:rPr>
              <w:t>企业</w:t>
            </w:r>
          </w:p>
        </w:tc>
        <w:tc>
          <w:tcPr>
            <w:tcW w:w="435" w:type="pct"/>
            <w:tcBorders>
              <w:top w:val="nil"/>
              <w:left w:val="nil"/>
              <w:bottom w:val="single" w:sz="4" w:space="0" w:color="auto"/>
              <w:right w:val="single" w:sz="4" w:space="0" w:color="auto"/>
            </w:tcBorders>
            <w:shd w:val="clear" w:color="auto" w:fill="auto"/>
            <w:noWrap/>
            <w:vAlign w:val="center"/>
            <w:hideMark/>
          </w:tcPr>
          <w:p w14:paraId="58C1FBB2" w14:textId="77777777" w:rsidR="000976F9" w:rsidRPr="000D03B4" w:rsidRDefault="000976F9" w:rsidP="00A745DB">
            <w:pPr>
              <w:widowControl/>
              <w:snapToGrid w:val="0"/>
              <w:jc w:val="left"/>
              <w:rPr>
                <w:kern w:val="0"/>
                <w:sz w:val="18"/>
                <w:szCs w:val="18"/>
              </w:rPr>
            </w:pPr>
            <w:r w:rsidRPr="000D03B4">
              <w:rPr>
                <w:kern w:val="0"/>
                <w:sz w:val="18"/>
                <w:szCs w:val="18"/>
              </w:rPr>
              <w:t>3.1.1</w:t>
            </w:r>
          </w:p>
        </w:tc>
        <w:tc>
          <w:tcPr>
            <w:tcW w:w="2928" w:type="pct"/>
            <w:tcBorders>
              <w:top w:val="nil"/>
              <w:left w:val="nil"/>
              <w:bottom w:val="single" w:sz="4" w:space="0" w:color="auto"/>
              <w:right w:val="single" w:sz="4" w:space="0" w:color="auto"/>
            </w:tcBorders>
            <w:shd w:val="clear" w:color="auto" w:fill="auto"/>
            <w:noWrap/>
            <w:vAlign w:val="center"/>
            <w:hideMark/>
          </w:tcPr>
          <w:p w14:paraId="24E1D37A" w14:textId="77777777" w:rsidR="000976F9" w:rsidRPr="000D03B4" w:rsidRDefault="000976F9" w:rsidP="00A745DB">
            <w:pPr>
              <w:widowControl/>
              <w:snapToGrid w:val="0"/>
              <w:jc w:val="left"/>
              <w:rPr>
                <w:kern w:val="0"/>
                <w:sz w:val="18"/>
                <w:szCs w:val="18"/>
              </w:rPr>
            </w:pPr>
            <w:r w:rsidRPr="000D03B4">
              <w:rPr>
                <w:kern w:val="0"/>
                <w:sz w:val="18"/>
                <w:szCs w:val="18"/>
              </w:rPr>
              <w:t>尽职调查</w:t>
            </w:r>
          </w:p>
        </w:tc>
      </w:tr>
      <w:tr w:rsidR="000976F9" w:rsidRPr="000D03B4" w14:paraId="11C7CFC7"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2C50C06D"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30F2E03A"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7090E79C" w14:textId="77777777" w:rsidR="000976F9" w:rsidRPr="000D03B4" w:rsidRDefault="000976F9" w:rsidP="00A745DB">
            <w:pPr>
              <w:widowControl/>
              <w:snapToGrid w:val="0"/>
              <w:jc w:val="left"/>
              <w:rPr>
                <w:kern w:val="0"/>
                <w:sz w:val="18"/>
                <w:szCs w:val="18"/>
              </w:rPr>
            </w:pPr>
            <w:r w:rsidRPr="000D03B4">
              <w:rPr>
                <w:kern w:val="0"/>
                <w:sz w:val="18"/>
                <w:szCs w:val="18"/>
              </w:rPr>
              <w:t>3.1.2</w:t>
            </w:r>
          </w:p>
        </w:tc>
        <w:tc>
          <w:tcPr>
            <w:tcW w:w="2928" w:type="pct"/>
            <w:tcBorders>
              <w:top w:val="nil"/>
              <w:left w:val="nil"/>
              <w:bottom w:val="single" w:sz="4" w:space="0" w:color="auto"/>
              <w:right w:val="single" w:sz="4" w:space="0" w:color="auto"/>
            </w:tcBorders>
            <w:shd w:val="clear" w:color="auto" w:fill="auto"/>
            <w:noWrap/>
            <w:vAlign w:val="center"/>
            <w:hideMark/>
          </w:tcPr>
          <w:p w14:paraId="02124403" w14:textId="77777777" w:rsidR="000976F9" w:rsidRPr="000D03B4" w:rsidRDefault="000976F9" w:rsidP="00A745DB">
            <w:pPr>
              <w:widowControl/>
              <w:snapToGrid w:val="0"/>
              <w:jc w:val="left"/>
              <w:rPr>
                <w:kern w:val="0"/>
                <w:sz w:val="18"/>
                <w:szCs w:val="18"/>
              </w:rPr>
            </w:pPr>
            <w:r w:rsidRPr="000D03B4">
              <w:rPr>
                <w:kern w:val="0"/>
                <w:sz w:val="18"/>
                <w:szCs w:val="18"/>
              </w:rPr>
              <w:t>企业境外资产巡查</w:t>
            </w:r>
          </w:p>
        </w:tc>
      </w:tr>
      <w:tr w:rsidR="000976F9" w:rsidRPr="000D03B4" w14:paraId="3270551E"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397AD0F9"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37AFBC78"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6BDE2387" w14:textId="77777777" w:rsidR="000976F9" w:rsidRPr="000D03B4" w:rsidRDefault="000976F9" w:rsidP="00A745DB">
            <w:pPr>
              <w:widowControl/>
              <w:snapToGrid w:val="0"/>
              <w:jc w:val="left"/>
              <w:rPr>
                <w:kern w:val="0"/>
                <w:sz w:val="18"/>
                <w:szCs w:val="18"/>
              </w:rPr>
            </w:pPr>
            <w:r w:rsidRPr="000D03B4">
              <w:rPr>
                <w:kern w:val="0"/>
                <w:sz w:val="18"/>
                <w:szCs w:val="18"/>
              </w:rPr>
              <w:t>3.1.3</w:t>
            </w:r>
          </w:p>
        </w:tc>
        <w:tc>
          <w:tcPr>
            <w:tcW w:w="2928" w:type="pct"/>
            <w:tcBorders>
              <w:top w:val="nil"/>
              <w:left w:val="nil"/>
              <w:bottom w:val="single" w:sz="4" w:space="0" w:color="auto"/>
              <w:right w:val="single" w:sz="4" w:space="0" w:color="auto"/>
            </w:tcBorders>
            <w:shd w:val="clear" w:color="auto" w:fill="auto"/>
            <w:noWrap/>
            <w:vAlign w:val="center"/>
            <w:hideMark/>
          </w:tcPr>
          <w:p w14:paraId="4405ED60" w14:textId="77777777" w:rsidR="000976F9" w:rsidRPr="000D03B4" w:rsidRDefault="000976F9" w:rsidP="00A745DB">
            <w:pPr>
              <w:widowControl/>
              <w:snapToGrid w:val="0"/>
              <w:jc w:val="left"/>
              <w:rPr>
                <w:kern w:val="0"/>
                <w:sz w:val="18"/>
                <w:szCs w:val="18"/>
              </w:rPr>
            </w:pPr>
            <w:r w:rsidRPr="000D03B4">
              <w:rPr>
                <w:kern w:val="0"/>
                <w:sz w:val="18"/>
                <w:szCs w:val="18"/>
              </w:rPr>
              <w:t>计税价格评估</w:t>
            </w:r>
          </w:p>
        </w:tc>
      </w:tr>
      <w:tr w:rsidR="000976F9" w:rsidRPr="000D03B4" w14:paraId="047D9C2D"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1A7E2031"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73A5A56E"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34C85E8E" w14:textId="77777777" w:rsidR="000976F9" w:rsidRPr="000D03B4" w:rsidRDefault="000976F9" w:rsidP="00A745DB">
            <w:pPr>
              <w:widowControl/>
              <w:snapToGrid w:val="0"/>
              <w:jc w:val="left"/>
              <w:rPr>
                <w:kern w:val="0"/>
                <w:sz w:val="18"/>
                <w:szCs w:val="18"/>
              </w:rPr>
            </w:pPr>
            <w:r w:rsidRPr="000D03B4">
              <w:rPr>
                <w:kern w:val="0"/>
                <w:sz w:val="18"/>
                <w:szCs w:val="18"/>
              </w:rPr>
              <w:t>3.1.4</w:t>
            </w:r>
          </w:p>
        </w:tc>
        <w:tc>
          <w:tcPr>
            <w:tcW w:w="2928" w:type="pct"/>
            <w:tcBorders>
              <w:top w:val="nil"/>
              <w:left w:val="nil"/>
              <w:bottom w:val="single" w:sz="4" w:space="0" w:color="auto"/>
              <w:right w:val="single" w:sz="4" w:space="0" w:color="auto"/>
            </w:tcBorders>
            <w:shd w:val="clear" w:color="auto" w:fill="auto"/>
            <w:noWrap/>
            <w:vAlign w:val="center"/>
            <w:hideMark/>
          </w:tcPr>
          <w:p w14:paraId="05E02F27" w14:textId="77777777" w:rsidR="000976F9" w:rsidRPr="000D03B4" w:rsidRDefault="000976F9" w:rsidP="00A745DB">
            <w:pPr>
              <w:widowControl/>
              <w:snapToGrid w:val="0"/>
              <w:jc w:val="left"/>
              <w:rPr>
                <w:kern w:val="0"/>
                <w:sz w:val="18"/>
                <w:szCs w:val="18"/>
              </w:rPr>
            </w:pPr>
            <w:r w:rsidRPr="000D03B4">
              <w:rPr>
                <w:kern w:val="0"/>
                <w:sz w:val="18"/>
                <w:szCs w:val="18"/>
              </w:rPr>
              <w:t>认定报关价格</w:t>
            </w:r>
          </w:p>
        </w:tc>
      </w:tr>
      <w:tr w:rsidR="000976F9" w:rsidRPr="000D03B4" w14:paraId="2A233FB8"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61DD15E1"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799D4708"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21BAE622" w14:textId="77777777" w:rsidR="000976F9" w:rsidRPr="000D03B4" w:rsidRDefault="000976F9" w:rsidP="00A745DB">
            <w:pPr>
              <w:widowControl/>
              <w:snapToGrid w:val="0"/>
              <w:jc w:val="left"/>
              <w:rPr>
                <w:kern w:val="0"/>
                <w:sz w:val="18"/>
                <w:szCs w:val="18"/>
              </w:rPr>
            </w:pPr>
            <w:r w:rsidRPr="000D03B4">
              <w:rPr>
                <w:kern w:val="0"/>
                <w:sz w:val="18"/>
                <w:szCs w:val="18"/>
              </w:rPr>
              <w:t>3.1.5</w:t>
            </w:r>
          </w:p>
        </w:tc>
        <w:tc>
          <w:tcPr>
            <w:tcW w:w="2928" w:type="pct"/>
            <w:tcBorders>
              <w:top w:val="nil"/>
              <w:left w:val="nil"/>
              <w:bottom w:val="single" w:sz="4" w:space="0" w:color="auto"/>
              <w:right w:val="single" w:sz="4" w:space="0" w:color="auto"/>
            </w:tcBorders>
            <w:shd w:val="clear" w:color="auto" w:fill="auto"/>
            <w:noWrap/>
            <w:vAlign w:val="center"/>
            <w:hideMark/>
          </w:tcPr>
          <w:p w14:paraId="1A1B734E" w14:textId="77777777" w:rsidR="000976F9" w:rsidRPr="000D03B4" w:rsidRDefault="000976F9" w:rsidP="00A745DB">
            <w:pPr>
              <w:widowControl/>
              <w:snapToGrid w:val="0"/>
              <w:jc w:val="left"/>
              <w:rPr>
                <w:kern w:val="0"/>
                <w:sz w:val="18"/>
                <w:szCs w:val="18"/>
              </w:rPr>
            </w:pPr>
            <w:r w:rsidRPr="000D03B4">
              <w:rPr>
                <w:kern w:val="0"/>
                <w:sz w:val="18"/>
                <w:szCs w:val="18"/>
              </w:rPr>
              <w:t>企业财务管理评估</w:t>
            </w:r>
          </w:p>
        </w:tc>
      </w:tr>
      <w:tr w:rsidR="000976F9" w:rsidRPr="000D03B4" w14:paraId="042E4278"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25503B28"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11FA21AF"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43EAFA3C" w14:textId="77777777" w:rsidR="000976F9" w:rsidRPr="000D03B4" w:rsidRDefault="000976F9" w:rsidP="00A745DB">
            <w:pPr>
              <w:widowControl/>
              <w:snapToGrid w:val="0"/>
              <w:jc w:val="left"/>
              <w:rPr>
                <w:kern w:val="0"/>
                <w:sz w:val="18"/>
                <w:szCs w:val="18"/>
              </w:rPr>
            </w:pPr>
            <w:r w:rsidRPr="000D03B4">
              <w:rPr>
                <w:kern w:val="0"/>
                <w:sz w:val="18"/>
                <w:szCs w:val="18"/>
              </w:rPr>
              <w:t>3.1.6</w:t>
            </w:r>
          </w:p>
        </w:tc>
        <w:tc>
          <w:tcPr>
            <w:tcW w:w="2928" w:type="pct"/>
            <w:tcBorders>
              <w:top w:val="nil"/>
              <w:left w:val="nil"/>
              <w:bottom w:val="single" w:sz="4" w:space="0" w:color="auto"/>
              <w:right w:val="single" w:sz="4" w:space="0" w:color="auto"/>
            </w:tcBorders>
            <w:shd w:val="clear" w:color="auto" w:fill="auto"/>
            <w:noWrap/>
            <w:vAlign w:val="center"/>
            <w:hideMark/>
          </w:tcPr>
          <w:p w14:paraId="288EAA76" w14:textId="77777777" w:rsidR="000976F9" w:rsidRPr="000D03B4" w:rsidRDefault="000976F9" w:rsidP="00A745DB">
            <w:pPr>
              <w:widowControl/>
              <w:snapToGrid w:val="0"/>
              <w:jc w:val="left"/>
              <w:rPr>
                <w:kern w:val="0"/>
                <w:sz w:val="18"/>
                <w:szCs w:val="18"/>
              </w:rPr>
            </w:pPr>
            <w:r w:rsidRPr="000D03B4">
              <w:rPr>
                <w:kern w:val="0"/>
                <w:sz w:val="18"/>
                <w:szCs w:val="18"/>
              </w:rPr>
              <w:t>证券公司合</w:t>
            </w:r>
            <w:proofErr w:type="gramStart"/>
            <w:r w:rsidRPr="000D03B4">
              <w:rPr>
                <w:kern w:val="0"/>
                <w:sz w:val="18"/>
                <w:szCs w:val="18"/>
              </w:rPr>
              <w:t>规</w:t>
            </w:r>
            <w:proofErr w:type="gramEnd"/>
            <w:r w:rsidRPr="000D03B4">
              <w:rPr>
                <w:kern w:val="0"/>
                <w:sz w:val="18"/>
                <w:szCs w:val="18"/>
              </w:rPr>
              <w:t>管理有效性评估</w:t>
            </w:r>
          </w:p>
        </w:tc>
      </w:tr>
      <w:tr w:rsidR="000976F9" w:rsidRPr="000D03B4" w14:paraId="496FB4C1" w14:textId="77777777" w:rsidTr="003E2E35">
        <w:trPr>
          <w:trHeight w:val="20"/>
        </w:trPr>
        <w:tc>
          <w:tcPr>
            <w:tcW w:w="690" w:type="pct"/>
            <w:vMerge/>
            <w:tcBorders>
              <w:top w:val="nil"/>
              <w:left w:val="single" w:sz="4" w:space="0" w:color="auto"/>
              <w:bottom w:val="single" w:sz="4" w:space="0" w:color="000000"/>
              <w:right w:val="single" w:sz="4" w:space="0" w:color="auto"/>
            </w:tcBorders>
            <w:vAlign w:val="center"/>
            <w:hideMark/>
          </w:tcPr>
          <w:p w14:paraId="7DB8A1A6"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2F1E5604"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39D6A2E8" w14:textId="77777777" w:rsidR="000976F9" w:rsidRPr="000D03B4" w:rsidRDefault="000976F9" w:rsidP="00A745DB">
            <w:pPr>
              <w:widowControl/>
              <w:snapToGrid w:val="0"/>
              <w:jc w:val="left"/>
              <w:rPr>
                <w:kern w:val="0"/>
                <w:sz w:val="18"/>
                <w:szCs w:val="18"/>
              </w:rPr>
            </w:pPr>
            <w:r w:rsidRPr="000D03B4">
              <w:rPr>
                <w:kern w:val="0"/>
                <w:sz w:val="18"/>
                <w:szCs w:val="18"/>
              </w:rPr>
              <w:t>3.1.7</w:t>
            </w:r>
          </w:p>
        </w:tc>
        <w:tc>
          <w:tcPr>
            <w:tcW w:w="2928" w:type="pct"/>
            <w:tcBorders>
              <w:top w:val="nil"/>
              <w:left w:val="nil"/>
              <w:bottom w:val="single" w:sz="4" w:space="0" w:color="auto"/>
              <w:right w:val="single" w:sz="4" w:space="0" w:color="auto"/>
            </w:tcBorders>
            <w:shd w:val="clear" w:color="auto" w:fill="auto"/>
            <w:noWrap/>
            <w:vAlign w:val="center"/>
            <w:hideMark/>
          </w:tcPr>
          <w:p w14:paraId="7A3474BF" w14:textId="77777777" w:rsidR="000976F9" w:rsidRPr="000D03B4" w:rsidRDefault="000976F9" w:rsidP="00A745DB">
            <w:pPr>
              <w:widowControl/>
              <w:snapToGrid w:val="0"/>
              <w:jc w:val="left"/>
              <w:rPr>
                <w:kern w:val="0"/>
                <w:sz w:val="18"/>
                <w:szCs w:val="18"/>
              </w:rPr>
            </w:pPr>
            <w:r w:rsidRPr="000D03B4">
              <w:rPr>
                <w:kern w:val="0"/>
                <w:sz w:val="18"/>
                <w:szCs w:val="18"/>
              </w:rPr>
              <w:t>识别价值驱动因素</w:t>
            </w:r>
          </w:p>
        </w:tc>
      </w:tr>
      <w:tr w:rsidR="000976F9" w:rsidRPr="000D03B4" w14:paraId="3CA203B1" w14:textId="77777777" w:rsidTr="003E2E35">
        <w:trPr>
          <w:trHeight w:val="20"/>
        </w:trPr>
        <w:tc>
          <w:tcPr>
            <w:tcW w:w="690" w:type="pct"/>
            <w:vMerge/>
            <w:tcBorders>
              <w:top w:val="nil"/>
              <w:left w:val="single" w:sz="4" w:space="0" w:color="auto"/>
              <w:bottom w:val="single" w:sz="4" w:space="0" w:color="000000"/>
              <w:right w:val="single" w:sz="4" w:space="0" w:color="auto"/>
            </w:tcBorders>
            <w:vAlign w:val="center"/>
            <w:hideMark/>
          </w:tcPr>
          <w:p w14:paraId="5D762335"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183192F4"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40DF674B" w14:textId="77777777" w:rsidR="000976F9" w:rsidRPr="000D03B4" w:rsidRDefault="000976F9" w:rsidP="00A745DB">
            <w:pPr>
              <w:widowControl/>
              <w:snapToGrid w:val="0"/>
              <w:jc w:val="left"/>
              <w:rPr>
                <w:kern w:val="0"/>
                <w:sz w:val="18"/>
                <w:szCs w:val="18"/>
              </w:rPr>
            </w:pPr>
            <w:r w:rsidRPr="000D03B4">
              <w:rPr>
                <w:kern w:val="0"/>
                <w:sz w:val="18"/>
                <w:szCs w:val="18"/>
              </w:rPr>
              <w:t>3.1.8</w:t>
            </w:r>
          </w:p>
        </w:tc>
        <w:tc>
          <w:tcPr>
            <w:tcW w:w="2928" w:type="pct"/>
            <w:tcBorders>
              <w:top w:val="nil"/>
              <w:left w:val="nil"/>
              <w:bottom w:val="single" w:sz="4" w:space="0" w:color="auto"/>
              <w:right w:val="single" w:sz="4" w:space="0" w:color="auto"/>
            </w:tcBorders>
            <w:shd w:val="clear" w:color="auto" w:fill="auto"/>
            <w:noWrap/>
            <w:vAlign w:val="center"/>
            <w:hideMark/>
          </w:tcPr>
          <w:p w14:paraId="558A7B1E" w14:textId="77777777" w:rsidR="000976F9" w:rsidRPr="000D03B4" w:rsidRDefault="000976F9" w:rsidP="00A745DB">
            <w:pPr>
              <w:widowControl/>
              <w:snapToGrid w:val="0"/>
              <w:jc w:val="left"/>
              <w:rPr>
                <w:kern w:val="0"/>
                <w:sz w:val="18"/>
                <w:szCs w:val="18"/>
              </w:rPr>
            </w:pPr>
            <w:r w:rsidRPr="000D03B4">
              <w:rPr>
                <w:kern w:val="0"/>
                <w:sz w:val="18"/>
                <w:szCs w:val="18"/>
              </w:rPr>
              <w:t>资产配置研究</w:t>
            </w:r>
          </w:p>
        </w:tc>
      </w:tr>
      <w:tr w:rsidR="000976F9" w:rsidRPr="000D03B4" w14:paraId="76EFCE07" w14:textId="77777777" w:rsidTr="003E2E35">
        <w:trPr>
          <w:trHeight w:val="20"/>
        </w:trPr>
        <w:tc>
          <w:tcPr>
            <w:tcW w:w="690" w:type="pct"/>
            <w:vMerge/>
            <w:tcBorders>
              <w:top w:val="nil"/>
              <w:left w:val="single" w:sz="4" w:space="0" w:color="auto"/>
              <w:bottom w:val="single" w:sz="4" w:space="0" w:color="000000"/>
              <w:right w:val="single" w:sz="4" w:space="0" w:color="auto"/>
            </w:tcBorders>
            <w:vAlign w:val="center"/>
            <w:hideMark/>
          </w:tcPr>
          <w:p w14:paraId="2E747651"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44EBD32C"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26111F58" w14:textId="77777777" w:rsidR="000976F9" w:rsidRPr="000D03B4" w:rsidRDefault="000976F9" w:rsidP="00A745DB">
            <w:pPr>
              <w:widowControl/>
              <w:snapToGrid w:val="0"/>
              <w:jc w:val="left"/>
              <w:rPr>
                <w:kern w:val="0"/>
                <w:sz w:val="18"/>
                <w:szCs w:val="18"/>
              </w:rPr>
            </w:pPr>
            <w:r w:rsidRPr="000D03B4">
              <w:rPr>
                <w:kern w:val="0"/>
                <w:sz w:val="18"/>
                <w:szCs w:val="18"/>
              </w:rPr>
              <w:t>3.1.9</w:t>
            </w:r>
          </w:p>
        </w:tc>
        <w:tc>
          <w:tcPr>
            <w:tcW w:w="2928" w:type="pct"/>
            <w:tcBorders>
              <w:top w:val="nil"/>
              <w:left w:val="nil"/>
              <w:bottom w:val="single" w:sz="4" w:space="0" w:color="auto"/>
              <w:right w:val="single" w:sz="4" w:space="0" w:color="auto"/>
            </w:tcBorders>
            <w:shd w:val="clear" w:color="auto" w:fill="auto"/>
            <w:noWrap/>
            <w:vAlign w:val="center"/>
            <w:hideMark/>
          </w:tcPr>
          <w:p w14:paraId="79EC3D12" w14:textId="77777777" w:rsidR="000976F9" w:rsidRPr="000D03B4" w:rsidRDefault="000976F9" w:rsidP="00A745DB">
            <w:pPr>
              <w:widowControl/>
              <w:snapToGrid w:val="0"/>
              <w:jc w:val="left"/>
              <w:rPr>
                <w:kern w:val="0"/>
                <w:sz w:val="18"/>
                <w:szCs w:val="18"/>
              </w:rPr>
            </w:pPr>
            <w:r w:rsidRPr="000D03B4">
              <w:rPr>
                <w:kern w:val="0"/>
                <w:sz w:val="18"/>
                <w:szCs w:val="18"/>
              </w:rPr>
              <w:t>投资前的尽职调查</w:t>
            </w:r>
          </w:p>
        </w:tc>
      </w:tr>
      <w:tr w:rsidR="000976F9" w:rsidRPr="000D03B4" w14:paraId="7A206839" w14:textId="77777777" w:rsidTr="003E2E35">
        <w:trPr>
          <w:trHeight w:val="20"/>
        </w:trPr>
        <w:tc>
          <w:tcPr>
            <w:tcW w:w="690" w:type="pct"/>
            <w:vMerge/>
            <w:tcBorders>
              <w:top w:val="nil"/>
              <w:left w:val="single" w:sz="4" w:space="0" w:color="auto"/>
              <w:bottom w:val="single" w:sz="4" w:space="0" w:color="000000"/>
              <w:right w:val="single" w:sz="4" w:space="0" w:color="auto"/>
            </w:tcBorders>
            <w:vAlign w:val="center"/>
            <w:hideMark/>
          </w:tcPr>
          <w:p w14:paraId="68BFD15C"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21CFA924"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36988114" w14:textId="77777777" w:rsidR="000976F9" w:rsidRPr="000D03B4" w:rsidRDefault="000976F9" w:rsidP="00A745DB">
            <w:pPr>
              <w:widowControl/>
              <w:snapToGrid w:val="0"/>
              <w:jc w:val="left"/>
              <w:rPr>
                <w:kern w:val="0"/>
                <w:sz w:val="18"/>
                <w:szCs w:val="18"/>
              </w:rPr>
            </w:pPr>
            <w:r w:rsidRPr="000D03B4">
              <w:rPr>
                <w:kern w:val="0"/>
                <w:sz w:val="18"/>
                <w:szCs w:val="18"/>
              </w:rPr>
              <w:t>3.1.10</w:t>
            </w:r>
          </w:p>
        </w:tc>
        <w:tc>
          <w:tcPr>
            <w:tcW w:w="2928" w:type="pct"/>
            <w:tcBorders>
              <w:top w:val="nil"/>
              <w:left w:val="nil"/>
              <w:bottom w:val="single" w:sz="4" w:space="0" w:color="auto"/>
              <w:right w:val="single" w:sz="4" w:space="0" w:color="auto"/>
            </w:tcBorders>
            <w:shd w:val="clear" w:color="auto" w:fill="auto"/>
            <w:noWrap/>
            <w:vAlign w:val="center"/>
            <w:hideMark/>
          </w:tcPr>
          <w:p w14:paraId="139C9C2F" w14:textId="77777777" w:rsidR="000976F9" w:rsidRPr="000D03B4" w:rsidRDefault="000976F9" w:rsidP="00A745DB">
            <w:pPr>
              <w:widowControl/>
              <w:snapToGrid w:val="0"/>
              <w:jc w:val="left"/>
              <w:rPr>
                <w:kern w:val="0"/>
                <w:sz w:val="18"/>
                <w:szCs w:val="18"/>
              </w:rPr>
            </w:pPr>
            <w:r w:rsidRPr="000D03B4">
              <w:rPr>
                <w:kern w:val="0"/>
                <w:sz w:val="18"/>
                <w:szCs w:val="18"/>
              </w:rPr>
              <w:t>投资后的评价管理</w:t>
            </w:r>
          </w:p>
        </w:tc>
      </w:tr>
      <w:tr w:rsidR="000976F9" w:rsidRPr="000D03B4" w14:paraId="335E5BA5"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484B58E7"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0D9E7C0C"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1409A1F1" w14:textId="77777777" w:rsidR="000976F9" w:rsidRPr="000D03B4" w:rsidRDefault="000976F9" w:rsidP="00A745DB">
            <w:pPr>
              <w:widowControl/>
              <w:snapToGrid w:val="0"/>
              <w:jc w:val="left"/>
              <w:rPr>
                <w:kern w:val="0"/>
                <w:sz w:val="18"/>
                <w:szCs w:val="18"/>
              </w:rPr>
            </w:pPr>
            <w:r w:rsidRPr="000D03B4">
              <w:rPr>
                <w:kern w:val="0"/>
                <w:sz w:val="18"/>
                <w:szCs w:val="18"/>
              </w:rPr>
              <w:t>3.1.11</w:t>
            </w:r>
          </w:p>
        </w:tc>
        <w:tc>
          <w:tcPr>
            <w:tcW w:w="2928" w:type="pct"/>
            <w:tcBorders>
              <w:top w:val="nil"/>
              <w:left w:val="nil"/>
              <w:bottom w:val="single" w:sz="4" w:space="0" w:color="auto"/>
              <w:right w:val="single" w:sz="4" w:space="0" w:color="auto"/>
            </w:tcBorders>
            <w:shd w:val="clear" w:color="auto" w:fill="auto"/>
            <w:noWrap/>
            <w:vAlign w:val="center"/>
            <w:hideMark/>
          </w:tcPr>
          <w:p w14:paraId="50965C43" w14:textId="77777777" w:rsidR="000976F9" w:rsidRPr="000D03B4" w:rsidRDefault="000976F9" w:rsidP="00A745DB">
            <w:pPr>
              <w:widowControl/>
              <w:snapToGrid w:val="0"/>
              <w:jc w:val="left"/>
              <w:rPr>
                <w:kern w:val="0"/>
                <w:sz w:val="18"/>
                <w:szCs w:val="18"/>
              </w:rPr>
            </w:pPr>
            <w:r w:rsidRPr="000D03B4">
              <w:rPr>
                <w:kern w:val="0"/>
                <w:sz w:val="18"/>
                <w:szCs w:val="18"/>
              </w:rPr>
              <w:t>资产管理</w:t>
            </w:r>
          </w:p>
        </w:tc>
      </w:tr>
      <w:tr w:rsidR="000976F9" w:rsidRPr="000D03B4" w14:paraId="20F2D426"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45EE9299"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6C7AC043"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3C2EAB86" w14:textId="77777777" w:rsidR="000976F9" w:rsidRPr="000D03B4" w:rsidRDefault="000976F9" w:rsidP="00A745DB">
            <w:pPr>
              <w:widowControl/>
              <w:snapToGrid w:val="0"/>
              <w:jc w:val="left"/>
              <w:rPr>
                <w:kern w:val="0"/>
                <w:sz w:val="18"/>
                <w:szCs w:val="18"/>
              </w:rPr>
            </w:pPr>
            <w:r w:rsidRPr="000D03B4">
              <w:rPr>
                <w:kern w:val="0"/>
                <w:sz w:val="18"/>
                <w:szCs w:val="18"/>
              </w:rPr>
              <w:t>3.1.12</w:t>
            </w:r>
          </w:p>
        </w:tc>
        <w:tc>
          <w:tcPr>
            <w:tcW w:w="2928" w:type="pct"/>
            <w:tcBorders>
              <w:top w:val="nil"/>
              <w:left w:val="nil"/>
              <w:bottom w:val="single" w:sz="4" w:space="0" w:color="auto"/>
              <w:right w:val="single" w:sz="4" w:space="0" w:color="auto"/>
            </w:tcBorders>
            <w:shd w:val="clear" w:color="auto" w:fill="auto"/>
            <w:noWrap/>
            <w:vAlign w:val="center"/>
            <w:hideMark/>
          </w:tcPr>
          <w:p w14:paraId="6576FDC8" w14:textId="77777777" w:rsidR="000976F9" w:rsidRPr="000D03B4" w:rsidRDefault="000976F9" w:rsidP="00A745DB">
            <w:pPr>
              <w:widowControl/>
              <w:snapToGrid w:val="0"/>
              <w:jc w:val="left"/>
              <w:rPr>
                <w:kern w:val="0"/>
                <w:sz w:val="18"/>
                <w:szCs w:val="18"/>
              </w:rPr>
            </w:pPr>
            <w:r w:rsidRPr="000D03B4">
              <w:rPr>
                <w:kern w:val="0"/>
                <w:sz w:val="18"/>
                <w:szCs w:val="18"/>
              </w:rPr>
              <w:t>人力资源管理咨询</w:t>
            </w:r>
          </w:p>
        </w:tc>
      </w:tr>
      <w:tr w:rsidR="000976F9" w:rsidRPr="000D03B4" w14:paraId="5A82D76F"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1EC17E43"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00159C9F"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58262FCA" w14:textId="77777777" w:rsidR="000976F9" w:rsidRPr="000D03B4" w:rsidRDefault="000976F9" w:rsidP="00A745DB">
            <w:pPr>
              <w:widowControl/>
              <w:snapToGrid w:val="0"/>
              <w:jc w:val="left"/>
              <w:rPr>
                <w:kern w:val="0"/>
                <w:sz w:val="18"/>
                <w:szCs w:val="18"/>
              </w:rPr>
            </w:pPr>
            <w:r w:rsidRPr="000D03B4">
              <w:rPr>
                <w:kern w:val="0"/>
                <w:sz w:val="18"/>
                <w:szCs w:val="18"/>
              </w:rPr>
              <w:t>3.1.13</w:t>
            </w:r>
          </w:p>
        </w:tc>
        <w:tc>
          <w:tcPr>
            <w:tcW w:w="2928" w:type="pct"/>
            <w:tcBorders>
              <w:top w:val="nil"/>
              <w:left w:val="nil"/>
              <w:bottom w:val="single" w:sz="4" w:space="0" w:color="auto"/>
              <w:right w:val="single" w:sz="4" w:space="0" w:color="auto"/>
            </w:tcBorders>
            <w:shd w:val="clear" w:color="auto" w:fill="auto"/>
            <w:noWrap/>
            <w:vAlign w:val="center"/>
            <w:hideMark/>
          </w:tcPr>
          <w:p w14:paraId="4C0442C8" w14:textId="77777777" w:rsidR="000976F9" w:rsidRPr="000D03B4" w:rsidRDefault="000976F9" w:rsidP="00A745DB">
            <w:pPr>
              <w:widowControl/>
              <w:snapToGrid w:val="0"/>
              <w:jc w:val="left"/>
              <w:rPr>
                <w:kern w:val="0"/>
                <w:sz w:val="18"/>
                <w:szCs w:val="18"/>
              </w:rPr>
            </w:pPr>
            <w:r w:rsidRPr="000D03B4">
              <w:rPr>
                <w:kern w:val="0"/>
                <w:sz w:val="18"/>
                <w:szCs w:val="18"/>
              </w:rPr>
              <w:t>激励约束机制设计及评价</w:t>
            </w:r>
          </w:p>
        </w:tc>
      </w:tr>
      <w:tr w:rsidR="000976F9" w:rsidRPr="000D03B4" w14:paraId="3E44B2EB"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688FA2ED"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696A43A0"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2CB12FB0" w14:textId="77777777" w:rsidR="000976F9" w:rsidRPr="000D03B4" w:rsidRDefault="000976F9" w:rsidP="00A745DB">
            <w:pPr>
              <w:widowControl/>
              <w:snapToGrid w:val="0"/>
              <w:jc w:val="left"/>
              <w:rPr>
                <w:kern w:val="0"/>
                <w:sz w:val="18"/>
                <w:szCs w:val="18"/>
              </w:rPr>
            </w:pPr>
            <w:r w:rsidRPr="000D03B4">
              <w:rPr>
                <w:kern w:val="0"/>
                <w:sz w:val="18"/>
                <w:szCs w:val="18"/>
              </w:rPr>
              <w:t>3.1.14</w:t>
            </w:r>
          </w:p>
        </w:tc>
        <w:tc>
          <w:tcPr>
            <w:tcW w:w="2928" w:type="pct"/>
            <w:tcBorders>
              <w:top w:val="nil"/>
              <w:left w:val="nil"/>
              <w:bottom w:val="single" w:sz="4" w:space="0" w:color="auto"/>
              <w:right w:val="single" w:sz="4" w:space="0" w:color="auto"/>
            </w:tcBorders>
            <w:shd w:val="clear" w:color="auto" w:fill="auto"/>
            <w:noWrap/>
            <w:vAlign w:val="center"/>
            <w:hideMark/>
          </w:tcPr>
          <w:p w14:paraId="247F2F42" w14:textId="77777777" w:rsidR="000976F9" w:rsidRPr="000D03B4" w:rsidRDefault="000976F9" w:rsidP="00A745DB">
            <w:pPr>
              <w:widowControl/>
              <w:snapToGrid w:val="0"/>
              <w:jc w:val="left"/>
              <w:rPr>
                <w:kern w:val="0"/>
                <w:sz w:val="18"/>
                <w:szCs w:val="18"/>
              </w:rPr>
            </w:pPr>
            <w:r w:rsidRPr="000D03B4">
              <w:rPr>
                <w:kern w:val="0"/>
                <w:sz w:val="18"/>
                <w:szCs w:val="18"/>
              </w:rPr>
              <w:t>流程重构</w:t>
            </w:r>
            <w:r w:rsidRPr="000D03B4">
              <w:rPr>
                <w:kern w:val="0"/>
                <w:sz w:val="18"/>
                <w:szCs w:val="18"/>
              </w:rPr>
              <w:t>/</w:t>
            </w:r>
            <w:r w:rsidRPr="000D03B4">
              <w:rPr>
                <w:kern w:val="0"/>
                <w:sz w:val="18"/>
                <w:szCs w:val="18"/>
              </w:rPr>
              <w:t>重整</w:t>
            </w:r>
          </w:p>
        </w:tc>
      </w:tr>
      <w:tr w:rsidR="000976F9" w:rsidRPr="000D03B4" w14:paraId="10A34E9C"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6C90C732"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0936C39A"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14FA96EE" w14:textId="77777777" w:rsidR="000976F9" w:rsidRPr="000D03B4" w:rsidRDefault="000976F9" w:rsidP="00A745DB">
            <w:pPr>
              <w:widowControl/>
              <w:snapToGrid w:val="0"/>
              <w:jc w:val="left"/>
              <w:rPr>
                <w:kern w:val="0"/>
                <w:sz w:val="18"/>
                <w:szCs w:val="18"/>
              </w:rPr>
            </w:pPr>
            <w:r w:rsidRPr="000D03B4">
              <w:rPr>
                <w:kern w:val="0"/>
                <w:sz w:val="18"/>
                <w:szCs w:val="18"/>
              </w:rPr>
              <w:t>3.1.15</w:t>
            </w:r>
          </w:p>
        </w:tc>
        <w:tc>
          <w:tcPr>
            <w:tcW w:w="2928" w:type="pct"/>
            <w:tcBorders>
              <w:top w:val="nil"/>
              <w:left w:val="nil"/>
              <w:bottom w:val="single" w:sz="4" w:space="0" w:color="auto"/>
              <w:right w:val="single" w:sz="4" w:space="0" w:color="auto"/>
            </w:tcBorders>
            <w:shd w:val="clear" w:color="auto" w:fill="auto"/>
            <w:noWrap/>
            <w:vAlign w:val="center"/>
            <w:hideMark/>
          </w:tcPr>
          <w:p w14:paraId="6C7CF3D6" w14:textId="77777777" w:rsidR="000976F9" w:rsidRPr="000D03B4" w:rsidRDefault="000976F9" w:rsidP="00A745DB">
            <w:pPr>
              <w:widowControl/>
              <w:snapToGrid w:val="0"/>
              <w:jc w:val="left"/>
              <w:rPr>
                <w:kern w:val="0"/>
                <w:sz w:val="18"/>
                <w:szCs w:val="18"/>
              </w:rPr>
            </w:pPr>
            <w:r w:rsidRPr="000D03B4">
              <w:rPr>
                <w:kern w:val="0"/>
                <w:sz w:val="18"/>
                <w:szCs w:val="18"/>
              </w:rPr>
              <w:t>风险管理</w:t>
            </w:r>
          </w:p>
        </w:tc>
      </w:tr>
      <w:tr w:rsidR="000976F9" w:rsidRPr="000D03B4" w14:paraId="1FE3CB53"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640B5F82"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235BD7D8"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1574363D" w14:textId="77777777" w:rsidR="000976F9" w:rsidRPr="000D03B4" w:rsidRDefault="000976F9" w:rsidP="00A745DB">
            <w:pPr>
              <w:widowControl/>
              <w:snapToGrid w:val="0"/>
              <w:jc w:val="left"/>
              <w:rPr>
                <w:kern w:val="0"/>
                <w:sz w:val="18"/>
                <w:szCs w:val="18"/>
              </w:rPr>
            </w:pPr>
            <w:r w:rsidRPr="000D03B4">
              <w:rPr>
                <w:kern w:val="0"/>
                <w:sz w:val="18"/>
                <w:szCs w:val="18"/>
              </w:rPr>
              <w:t>3.1.16</w:t>
            </w:r>
          </w:p>
        </w:tc>
        <w:tc>
          <w:tcPr>
            <w:tcW w:w="2928" w:type="pct"/>
            <w:tcBorders>
              <w:top w:val="nil"/>
              <w:left w:val="nil"/>
              <w:bottom w:val="single" w:sz="4" w:space="0" w:color="auto"/>
              <w:right w:val="single" w:sz="4" w:space="0" w:color="auto"/>
            </w:tcBorders>
            <w:shd w:val="clear" w:color="auto" w:fill="auto"/>
            <w:noWrap/>
            <w:vAlign w:val="center"/>
            <w:hideMark/>
          </w:tcPr>
          <w:p w14:paraId="2651818D" w14:textId="77777777" w:rsidR="000976F9" w:rsidRPr="000D03B4" w:rsidRDefault="000976F9" w:rsidP="00A745DB">
            <w:pPr>
              <w:widowControl/>
              <w:snapToGrid w:val="0"/>
              <w:jc w:val="left"/>
              <w:rPr>
                <w:kern w:val="0"/>
                <w:sz w:val="18"/>
                <w:szCs w:val="18"/>
              </w:rPr>
            </w:pPr>
            <w:r w:rsidRPr="000D03B4">
              <w:rPr>
                <w:kern w:val="0"/>
                <w:sz w:val="18"/>
                <w:szCs w:val="18"/>
              </w:rPr>
              <w:t>价值管理</w:t>
            </w:r>
          </w:p>
        </w:tc>
      </w:tr>
      <w:tr w:rsidR="000976F9" w:rsidRPr="000D03B4" w14:paraId="0EA619F0"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00FC0579"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5F6AB006"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1AEFB172" w14:textId="77777777" w:rsidR="000976F9" w:rsidRPr="000D03B4" w:rsidRDefault="000976F9" w:rsidP="00A745DB">
            <w:pPr>
              <w:widowControl/>
              <w:snapToGrid w:val="0"/>
              <w:jc w:val="left"/>
              <w:rPr>
                <w:kern w:val="0"/>
                <w:sz w:val="18"/>
                <w:szCs w:val="18"/>
              </w:rPr>
            </w:pPr>
            <w:r w:rsidRPr="000D03B4">
              <w:rPr>
                <w:kern w:val="0"/>
                <w:sz w:val="18"/>
                <w:szCs w:val="18"/>
              </w:rPr>
              <w:t>3.1.17</w:t>
            </w:r>
          </w:p>
        </w:tc>
        <w:tc>
          <w:tcPr>
            <w:tcW w:w="2928" w:type="pct"/>
            <w:tcBorders>
              <w:top w:val="nil"/>
              <w:left w:val="nil"/>
              <w:bottom w:val="single" w:sz="4" w:space="0" w:color="auto"/>
              <w:right w:val="single" w:sz="4" w:space="0" w:color="auto"/>
            </w:tcBorders>
            <w:shd w:val="clear" w:color="auto" w:fill="auto"/>
            <w:noWrap/>
            <w:vAlign w:val="center"/>
            <w:hideMark/>
          </w:tcPr>
          <w:p w14:paraId="78772A7E" w14:textId="77777777" w:rsidR="000976F9" w:rsidRPr="000D03B4" w:rsidRDefault="000976F9" w:rsidP="00A745DB">
            <w:pPr>
              <w:widowControl/>
              <w:snapToGrid w:val="0"/>
              <w:jc w:val="left"/>
              <w:rPr>
                <w:kern w:val="0"/>
                <w:sz w:val="18"/>
                <w:szCs w:val="18"/>
              </w:rPr>
            </w:pPr>
            <w:r w:rsidRPr="000D03B4">
              <w:rPr>
                <w:kern w:val="0"/>
                <w:sz w:val="18"/>
                <w:szCs w:val="18"/>
              </w:rPr>
              <w:t>战略管理</w:t>
            </w:r>
          </w:p>
        </w:tc>
      </w:tr>
      <w:tr w:rsidR="000976F9" w:rsidRPr="000D03B4" w14:paraId="7E9F8D4C"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153DD0E6"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7F83D0AE"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7EE9AE33" w14:textId="77777777" w:rsidR="000976F9" w:rsidRPr="000D03B4" w:rsidRDefault="000976F9" w:rsidP="00A745DB">
            <w:pPr>
              <w:widowControl/>
              <w:snapToGrid w:val="0"/>
              <w:jc w:val="left"/>
              <w:rPr>
                <w:kern w:val="0"/>
                <w:sz w:val="18"/>
                <w:szCs w:val="18"/>
              </w:rPr>
            </w:pPr>
            <w:r w:rsidRPr="000D03B4">
              <w:rPr>
                <w:kern w:val="0"/>
                <w:sz w:val="18"/>
                <w:szCs w:val="18"/>
              </w:rPr>
              <w:t>3.1.18</w:t>
            </w:r>
          </w:p>
        </w:tc>
        <w:tc>
          <w:tcPr>
            <w:tcW w:w="2928" w:type="pct"/>
            <w:tcBorders>
              <w:top w:val="nil"/>
              <w:left w:val="nil"/>
              <w:bottom w:val="single" w:sz="4" w:space="0" w:color="auto"/>
              <w:right w:val="single" w:sz="4" w:space="0" w:color="auto"/>
            </w:tcBorders>
            <w:shd w:val="clear" w:color="auto" w:fill="auto"/>
            <w:noWrap/>
            <w:vAlign w:val="center"/>
            <w:hideMark/>
          </w:tcPr>
          <w:p w14:paraId="65CCD8A1" w14:textId="77777777" w:rsidR="000976F9" w:rsidRPr="000D03B4" w:rsidRDefault="000976F9" w:rsidP="00A745DB">
            <w:pPr>
              <w:widowControl/>
              <w:snapToGrid w:val="0"/>
              <w:jc w:val="left"/>
              <w:rPr>
                <w:kern w:val="0"/>
                <w:sz w:val="18"/>
                <w:szCs w:val="18"/>
              </w:rPr>
            </w:pPr>
            <w:r w:rsidRPr="000D03B4">
              <w:rPr>
                <w:kern w:val="0"/>
                <w:sz w:val="18"/>
                <w:szCs w:val="18"/>
              </w:rPr>
              <w:t>并购重组的交易结构、路径、方案等咨询业务</w:t>
            </w:r>
          </w:p>
        </w:tc>
      </w:tr>
      <w:tr w:rsidR="000976F9" w:rsidRPr="000D03B4" w14:paraId="0E72F33D"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49FCA3A1"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7C1E3D9D"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2F2E9FFB" w14:textId="77777777" w:rsidR="000976F9" w:rsidRPr="000D03B4" w:rsidRDefault="000976F9" w:rsidP="00A745DB">
            <w:pPr>
              <w:widowControl/>
              <w:snapToGrid w:val="0"/>
              <w:jc w:val="left"/>
              <w:rPr>
                <w:kern w:val="0"/>
                <w:sz w:val="18"/>
                <w:szCs w:val="18"/>
              </w:rPr>
            </w:pPr>
            <w:r w:rsidRPr="000D03B4">
              <w:rPr>
                <w:kern w:val="0"/>
                <w:sz w:val="18"/>
                <w:szCs w:val="18"/>
              </w:rPr>
              <w:t>3.1.19</w:t>
            </w:r>
          </w:p>
        </w:tc>
        <w:tc>
          <w:tcPr>
            <w:tcW w:w="2928" w:type="pct"/>
            <w:tcBorders>
              <w:top w:val="nil"/>
              <w:left w:val="nil"/>
              <w:bottom w:val="single" w:sz="4" w:space="0" w:color="auto"/>
              <w:right w:val="single" w:sz="4" w:space="0" w:color="auto"/>
            </w:tcBorders>
            <w:shd w:val="clear" w:color="auto" w:fill="auto"/>
            <w:noWrap/>
            <w:vAlign w:val="center"/>
            <w:hideMark/>
          </w:tcPr>
          <w:p w14:paraId="2ABC220C" w14:textId="77777777" w:rsidR="000976F9" w:rsidRPr="000D03B4" w:rsidRDefault="000976F9" w:rsidP="00A745DB">
            <w:pPr>
              <w:widowControl/>
              <w:snapToGrid w:val="0"/>
              <w:jc w:val="left"/>
              <w:rPr>
                <w:kern w:val="0"/>
                <w:sz w:val="18"/>
                <w:szCs w:val="18"/>
              </w:rPr>
            </w:pPr>
            <w:r w:rsidRPr="000D03B4">
              <w:rPr>
                <w:kern w:val="0"/>
                <w:sz w:val="18"/>
                <w:szCs w:val="18"/>
              </w:rPr>
              <w:t>并购重组的税收问题咨询</w:t>
            </w:r>
          </w:p>
        </w:tc>
      </w:tr>
      <w:tr w:rsidR="000976F9" w:rsidRPr="000D03B4" w14:paraId="5A876167"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6AEA2C92"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34BCCCD5"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4A0AE184" w14:textId="77777777" w:rsidR="000976F9" w:rsidRPr="000D03B4" w:rsidRDefault="000976F9" w:rsidP="00A745DB">
            <w:pPr>
              <w:widowControl/>
              <w:snapToGrid w:val="0"/>
              <w:jc w:val="left"/>
              <w:rPr>
                <w:kern w:val="0"/>
                <w:sz w:val="18"/>
                <w:szCs w:val="18"/>
              </w:rPr>
            </w:pPr>
            <w:r w:rsidRPr="000D03B4">
              <w:rPr>
                <w:kern w:val="0"/>
                <w:sz w:val="18"/>
                <w:szCs w:val="18"/>
              </w:rPr>
              <w:t>3.1.20</w:t>
            </w:r>
          </w:p>
        </w:tc>
        <w:tc>
          <w:tcPr>
            <w:tcW w:w="2928" w:type="pct"/>
            <w:tcBorders>
              <w:top w:val="nil"/>
              <w:left w:val="nil"/>
              <w:bottom w:val="single" w:sz="4" w:space="0" w:color="auto"/>
              <w:right w:val="single" w:sz="4" w:space="0" w:color="auto"/>
            </w:tcBorders>
            <w:shd w:val="clear" w:color="auto" w:fill="auto"/>
            <w:noWrap/>
            <w:vAlign w:val="center"/>
            <w:hideMark/>
          </w:tcPr>
          <w:p w14:paraId="1E7A7280" w14:textId="77777777" w:rsidR="000976F9" w:rsidRPr="000D03B4" w:rsidRDefault="000976F9" w:rsidP="00A745DB">
            <w:pPr>
              <w:widowControl/>
              <w:snapToGrid w:val="0"/>
              <w:jc w:val="left"/>
              <w:rPr>
                <w:kern w:val="0"/>
                <w:sz w:val="18"/>
                <w:szCs w:val="18"/>
              </w:rPr>
            </w:pPr>
            <w:r w:rsidRPr="000D03B4">
              <w:rPr>
                <w:kern w:val="0"/>
                <w:sz w:val="18"/>
                <w:szCs w:val="18"/>
              </w:rPr>
              <w:t>破产顾问服务、托管人与接管人服务</w:t>
            </w:r>
          </w:p>
        </w:tc>
      </w:tr>
      <w:tr w:rsidR="000976F9" w:rsidRPr="000D03B4" w14:paraId="0893A2B2"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16B0A282"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115712E5"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547CA179" w14:textId="77777777" w:rsidR="000976F9" w:rsidRPr="000D03B4" w:rsidRDefault="000976F9" w:rsidP="00A745DB">
            <w:pPr>
              <w:widowControl/>
              <w:snapToGrid w:val="0"/>
              <w:jc w:val="left"/>
              <w:rPr>
                <w:kern w:val="0"/>
                <w:sz w:val="18"/>
                <w:szCs w:val="18"/>
              </w:rPr>
            </w:pPr>
            <w:r w:rsidRPr="000D03B4">
              <w:rPr>
                <w:kern w:val="0"/>
                <w:sz w:val="18"/>
                <w:szCs w:val="18"/>
              </w:rPr>
              <w:t>3.1.21</w:t>
            </w:r>
          </w:p>
        </w:tc>
        <w:tc>
          <w:tcPr>
            <w:tcW w:w="2928" w:type="pct"/>
            <w:tcBorders>
              <w:top w:val="nil"/>
              <w:left w:val="nil"/>
              <w:bottom w:val="single" w:sz="4" w:space="0" w:color="auto"/>
              <w:right w:val="single" w:sz="4" w:space="0" w:color="auto"/>
            </w:tcBorders>
            <w:shd w:val="clear" w:color="auto" w:fill="auto"/>
            <w:noWrap/>
            <w:vAlign w:val="center"/>
            <w:hideMark/>
          </w:tcPr>
          <w:p w14:paraId="4C4B8755" w14:textId="77777777" w:rsidR="000976F9" w:rsidRPr="000D03B4" w:rsidRDefault="000976F9" w:rsidP="00A745DB">
            <w:pPr>
              <w:widowControl/>
              <w:snapToGrid w:val="0"/>
              <w:jc w:val="left"/>
              <w:rPr>
                <w:kern w:val="0"/>
                <w:sz w:val="18"/>
                <w:szCs w:val="18"/>
              </w:rPr>
            </w:pPr>
            <w:r w:rsidRPr="000D03B4">
              <w:rPr>
                <w:kern w:val="0"/>
                <w:sz w:val="18"/>
                <w:szCs w:val="18"/>
              </w:rPr>
              <w:t>破产诉讼与赔偿管理咨询</w:t>
            </w:r>
          </w:p>
        </w:tc>
      </w:tr>
      <w:tr w:rsidR="000976F9" w:rsidRPr="000D03B4" w14:paraId="090D3223" w14:textId="77777777" w:rsidTr="000976F9">
        <w:trPr>
          <w:trHeight w:val="20"/>
        </w:trPr>
        <w:tc>
          <w:tcPr>
            <w:tcW w:w="690" w:type="pct"/>
            <w:vMerge/>
            <w:tcBorders>
              <w:top w:val="nil"/>
              <w:left w:val="single" w:sz="4" w:space="0" w:color="auto"/>
              <w:bottom w:val="single" w:sz="4" w:space="0" w:color="000000"/>
              <w:right w:val="single" w:sz="4" w:space="0" w:color="auto"/>
            </w:tcBorders>
            <w:vAlign w:val="center"/>
            <w:hideMark/>
          </w:tcPr>
          <w:p w14:paraId="22D53FD6"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69FEBEEB"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6CEF36D4" w14:textId="77777777" w:rsidR="000976F9" w:rsidRPr="000D03B4" w:rsidRDefault="000976F9" w:rsidP="00A745DB">
            <w:pPr>
              <w:widowControl/>
              <w:snapToGrid w:val="0"/>
              <w:jc w:val="left"/>
              <w:rPr>
                <w:kern w:val="0"/>
                <w:sz w:val="18"/>
                <w:szCs w:val="18"/>
              </w:rPr>
            </w:pPr>
            <w:r w:rsidRPr="000D03B4">
              <w:rPr>
                <w:kern w:val="0"/>
                <w:sz w:val="18"/>
                <w:szCs w:val="18"/>
              </w:rPr>
              <w:t>3.1.22</w:t>
            </w:r>
          </w:p>
        </w:tc>
        <w:tc>
          <w:tcPr>
            <w:tcW w:w="2928" w:type="pct"/>
            <w:tcBorders>
              <w:top w:val="nil"/>
              <w:left w:val="nil"/>
              <w:bottom w:val="single" w:sz="4" w:space="0" w:color="auto"/>
              <w:right w:val="single" w:sz="4" w:space="0" w:color="auto"/>
            </w:tcBorders>
            <w:shd w:val="clear" w:color="auto" w:fill="auto"/>
            <w:noWrap/>
            <w:vAlign w:val="center"/>
            <w:hideMark/>
          </w:tcPr>
          <w:p w14:paraId="30174DB7" w14:textId="77777777" w:rsidR="000976F9" w:rsidRPr="000D03B4" w:rsidRDefault="000976F9" w:rsidP="00A745DB">
            <w:pPr>
              <w:widowControl/>
              <w:snapToGrid w:val="0"/>
              <w:jc w:val="left"/>
              <w:rPr>
                <w:kern w:val="0"/>
                <w:sz w:val="18"/>
                <w:szCs w:val="18"/>
              </w:rPr>
            </w:pPr>
            <w:r w:rsidRPr="000D03B4">
              <w:rPr>
                <w:kern w:val="0"/>
                <w:sz w:val="18"/>
                <w:szCs w:val="18"/>
              </w:rPr>
              <w:t>企业争端分析与调查</w:t>
            </w:r>
          </w:p>
        </w:tc>
      </w:tr>
      <w:tr w:rsidR="000976F9" w:rsidRPr="000D03B4" w14:paraId="0E8DCC63" w14:textId="77777777" w:rsidTr="003E2E35">
        <w:trPr>
          <w:trHeight w:val="20"/>
        </w:trPr>
        <w:tc>
          <w:tcPr>
            <w:tcW w:w="69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A491539" w14:textId="77777777" w:rsidR="000976F9" w:rsidRPr="000D03B4" w:rsidRDefault="000976F9" w:rsidP="00A745DB">
            <w:pPr>
              <w:widowControl/>
              <w:snapToGrid w:val="0"/>
              <w:jc w:val="center"/>
              <w:rPr>
                <w:kern w:val="0"/>
                <w:sz w:val="18"/>
                <w:szCs w:val="18"/>
              </w:rPr>
            </w:pPr>
            <w:r w:rsidRPr="000D03B4">
              <w:rPr>
                <w:kern w:val="0"/>
                <w:sz w:val="18"/>
                <w:szCs w:val="18"/>
              </w:rPr>
              <w:t>3.2</w:t>
            </w:r>
          </w:p>
        </w:tc>
        <w:tc>
          <w:tcPr>
            <w:tcW w:w="94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0C00180" w14:textId="77777777" w:rsidR="000976F9" w:rsidRPr="000D03B4" w:rsidRDefault="000976F9" w:rsidP="00A745DB">
            <w:pPr>
              <w:widowControl/>
              <w:snapToGrid w:val="0"/>
              <w:jc w:val="center"/>
              <w:rPr>
                <w:kern w:val="0"/>
                <w:sz w:val="18"/>
                <w:szCs w:val="18"/>
              </w:rPr>
            </w:pPr>
            <w:r w:rsidRPr="000D03B4">
              <w:rPr>
                <w:kern w:val="0"/>
                <w:sz w:val="18"/>
                <w:szCs w:val="18"/>
              </w:rPr>
              <w:t>其他</w:t>
            </w:r>
          </w:p>
        </w:tc>
        <w:tc>
          <w:tcPr>
            <w:tcW w:w="435" w:type="pct"/>
            <w:tcBorders>
              <w:top w:val="nil"/>
              <w:left w:val="nil"/>
              <w:bottom w:val="single" w:sz="4" w:space="0" w:color="auto"/>
              <w:right w:val="single" w:sz="4" w:space="0" w:color="auto"/>
            </w:tcBorders>
            <w:shd w:val="clear" w:color="auto" w:fill="auto"/>
            <w:noWrap/>
            <w:vAlign w:val="center"/>
            <w:hideMark/>
          </w:tcPr>
          <w:p w14:paraId="21066484" w14:textId="77777777" w:rsidR="000976F9" w:rsidRPr="000D03B4" w:rsidRDefault="000976F9" w:rsidP="00A745DB">
            <w:pPr>
              <w:widowControl/>
              <w:snapToGrid w:val="0"/>
              <w:jc w:val="left"/>
              <w:rPr>
                <w:kern w:val="0"/>
                <w:sz w:val="18"/>
                <w:szCs w:val="18"/>
              </w:rPr>
            </w:pPr>
            <w:r w:rsidRPr="000D03B4">
              <w:rPr>
                <w:kern w:val="0"/>
                <w:sz w:val="18"/>
                <w:szCs w:val="18"/>
              </w:rPr>
              <w:t>3.2.1</w:t>
            </w:r>
          </w:p>
        </w:tc>
        <w:tc>
          <w:tcPr>
            <w:tcW w:w="2928" w:type="pct"/>
            <w:tcBorders>
              <w:top w:val="nil"/>
              <w:left w:val="nil"/>
              <w:bottom w:val="single" w:sz="4" w:space="0" w:color="auto"/>
              <w:right w:val="single" w:sz="4" w:space="0" w:color="auto"/>
            </w:tcBorders>
            <w:shd w:val="clear" w:color="auto" w:fill="auto"/>
            <w:noWrap/>
            <w:vAlign w:val="center"/>
            <w:hideMark/>
          </w:tcPr>
          <w:p w14:paraId="0D4AEDB4" w14:textId="77777777" w:rsidR="000976F9" w:rsidRPr="000D03B4" w:rsidRDefault="000976F9" w:rsidP="00A745DB">
            <w:pPr>
              <w:widowControl/>
              <w:snapToGrid w:val="0"/>
              <w:jc w:val="left"/>
              <w:rPr>
                <w:kern w:val="0"/>
                <w:sz w:val="18"/>
                <w:szCs w:val="18"/>
              </w:rPr>
            </w:pPr>
            <w:r w:rsidRPr="000D03B4">
              <w:rPr>
                <w:kern w:val="0"/>
                <w:sz w:val="18"/>
                <w:szCs w:val="18"/>
              </w:rPr>
              <w:t>质量信用评估</w:t>
            </w:r>
          </w:p>
        </w:tc>
      </w:tr>
      <w:tr w:rsidR="000976F9" w:rsidRPr="000D03B4" w14:paraId="698FE889" w14:textId="77777777" w:rsidTr="003E2E35">
        <w:trPr>
          <w:trHeight w:val="20"/>
        </w:trPr>
        <w:tc>
          <w:tcPr>
            <w:tcW w:w="690" w:type="pct"/>
            <w:vMerge/>
            <w:tcBorders>
              <w:top w:val="nil"/>
              <w:left w:val="single" w:sz="4" w:space="0" w:color="auto"/>
              <w:bottom w:val="single" w:sz="4" w:space="0" w:color="000000"/>
              <w:right w:val="single" w:sz="4" w:space="0" w:color="auto"/>
            </w:tcBorders>
            <w:vAlign w:val="center"/>
            <w:hideMark/>
          </w:tcPr>
          <w:p w14:paraId="70E6BC11"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5EC9CAAA"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7E70CA93" w14:textId="77777777" w:rsidR="000976F9" w:rsidRPr="000D03B4" w:rsidRDefault="000976F9" w:rsidP="00A745DB">
            <w:pPr>
              <w:widowControl/>
              <w:snapToGrid w:val="0"/>
              <w:jc w:val="left"/>
              <w:rPr>
                <w:kern w:val="0"/>
                <w:sz w:val="18"/>
                <w:szCs w:val="18"/>
              </w:rPr>
            </w:pPr>
            <w:r w:rsidRPr="000D03B4">
              <w:rPr>
                <w:kern w:val="0"/>
                <w:sz w:val="18"/>
                <w:szCs w:val="18"/>
              </w:rPr>
              <w:t>3.2.2</w:t>
            </w:r>
          </w:p>
        </w:tc>
        <w:tc>
          <w:tcPr>
            <w:tcW w:w="2928" w:type="pct"/>
            <w:tcBorders>
              <w:top w:val="nil"/>
              <w:left w:val="nil"/>
              <w:bottom w:val="single" w:sz="4" w:space="0" w:color="auto"/>
              <w:right w:val="single" w:sz="4" w:space="0" w:color="auto"/>
            </w:tcBorders>
            <w:shd w:val="clear" w:color="auto" w:fill="auto"/>
            <w:noWrap/>
            <w:vAlign w:val="center"/>
            <w:hideMark/>
          </w:tcPr>
          <w:p w14:paraId="48185C0B" w14:textId="77777777" w:rsidR="000976F9" w:rsidRPr="000D03B4" w:rsidRDefault="000976F9" w:rsidP="00A745DB">
            <w:pPr>
              <w:widowControl/>
              <w:snapToGrid w:val="0"/>
              <w:jc w:val="left"/>
              <w:rPr>
                <w:kern w:val="0"/>
                <w:sz w:val="18"/>
                <w:szCs w:val="18"/>
              </w:rPr>
            </w:pPr>
            <w:r w:rsidRPr="000D03B4">
              <w:rPr>
                <w:kern w:val="0"/>
                <w:sz w:val="18"/>
                <w:szCs w:val="18"/>
              </w:rPr>
              <w:t>社会组织评估</w:t>
            </w:r>
          </w:p>
        </w:tc>
      </w:tr>
      <w:tr w:rsidR="000976F9" w:rsidRPr="000D03B4" w14:paraId="78AAF23C" w14:textId="77777777" w:rsidTr="003E2E35">
        <w:trPr>
          <w:trHeight w:val="20"/>
        </w:trPr>
        <w:tc>
          <w:tcPr>
            <w:tcW w:w="690" w:type="pct"/>
            <w:vMerge/>
            <w:tcBorders>
              <w:top w:val="nil"/>
              <w:left w:val="single" w:sz="4" w:space="0" w:color="auto"/>
              <w:bottom w:val="single" w:sz="4" w:space="0" w:color="000000"/>
              <w:right w:val="single" w:sz="4" w:space="0" w:color="auto"/>
            </w:tcBorders>
            <w:vAlign w:val="center"/>
            <w:hideMark/>
          </w:tcPr>
          <w:p w14:paraId="50D8C81B"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278182B6"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2E803DDC" w14:textId="77777777" w:rsidR="000976F9" w:rsidRPr="000D03B4" w:rsidRDefault="000976F9" w:rsidP="00A745DB">
            <w:pPr>
              <w:widowControl/>
              <w:snapToGrid w:val="0"/>
              <w:jc w:val="left"/>
              <w:rPr>
                <w:kern w:val="0"/>
                <w:sz w:val="18"/>
                <w:szCs w:val="18"/>
              </w:rPr>
            </w:pPr>
            <w:r w:rsidRPr="000D03B4">
              <w:rPr>
                <w:kern w:val="0"/>
                <w:sz w:val="18"/>
                <w:szCs w:val="18"/>
              </w:rPr>
              <w:t>3.2.3</w:t>
            </w:r>
          </w:p>
        </w:tc>
        <w:tc>
          <w:tcPr>
            <w:tcW w:w="2928" w:type="pct"/>
            <w:tcBorders>
              <w:top w:val="nil"/>
              <w:left w:val="nil"/>
              <w:bottom w:val="single" w:sz="4" w:space="0" w:color="auto"/>
              <w:right w:val="single" w:sz="4" w:space="0" w:color="auto"/>
            </w:tcBorders>
            <w:shd w:val="clear" w:color="auto" w:fill="auto"/>
            <w:noWrap/>
            <w:vAlign w:val="center"/>
            <w:hideMark/>
          </w:tcPr>
          <w:p w14:paraId="08D1EE2D" w14:textId="77777777" w:rsidR="000976F9" w:rsidRPr="000D03B4" w:rsidRDefault="000976F9" w:rsidP="00A745DB">
            <w:pPr>
              <w:widowControl/>
              <w:snapToGrid w:val="0"/>
              <w:jc w:val="left"/>
              <w:rPr>
                <w:kern w:val="0"/>
                <w:sz w:val="18"/>
                <w:szCs w:val="18"/>
              </w:rPr>
            </w:pPr>
            <w:r w:rsidRPr="000D03B4">
              <w:rPr>
                <w:kern w:val="0"/>
                <w:sz w:val="18"/>
                <w:szCs w:val="18"/>
              </w:rPr>
              <w:t>预算绩效管理咨询</w:t>
            </w:r>
          </w:p>
        </w:tc>
      </w:tr>
      <w:tr w:rsidR="000976F9" w:rsidRPr="000D03B4" w14:paraId="0D102B9F" w14:textId="77777777" w:rsidTr="003E2E35">
        <w:trPr>
          <w:trHeight w:val="20"/>
        </w:trPr>
        <w:tc>
          <w:tcPr>
            <w:tcW w:w="690" w:type="pct"/>
            <w:vMerge/>
            <w:tcBorders>
              <w:top w:val="nil"/>
              <w:left w:val="single" w:sz="4" w:space="0" w:color="auto"/>
              <w:bottom w:val="single" w:sz="4" w:space="0" w:color="000000"/>
              <w:right w:val="single" w:sz="4" w:space="0" w:color="auto"/>
            </w:tcBorders>
            <w:vAlign w:val="center"/>
            <w:hideMark/>
          </w:tcPr>
          <w:p w14:paraId="511BE959"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36D3D76B"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77FC06C6" w14:textId="77777777" w:rsidR="000976F9" w:rsidRPr="000D03B4" w:rsidRDefault="000976F9" w:rsidP="00A745DB">
            <w:pPr>
              <w:widowControl/>
              <w:snapToGrid w:val="0"/>
              <w:jc w:val="left"/>
              <w:rPr>
                <w:kern w:val="0"/>
                <w:sz w:val="18"/>
                <w:szCs w:val="18"/>
              </w:rPr>
            </w:pPr>
            <w:r w:rsidRPr="000D03B4">
              <w:rPr>
                <w:kern w:val="0"/>
                <w:sz w:val="18"/>
                <w:szCs w:val="18"/>
              </w:rPr>
              <w:t>3.2.4</w:t>
            </w:r>
          </w:p>
        </w:tc>
        <w:tc>
          <w:tcPr>
            <w:tcW w:w="2928" w:type="pct"/>
            <w:tcBorders>
              <w:top w:val="nil"/>
              <w:left w:val="nil"/>
              <w:bottom w:val="single" w:sz="4" w:space="0" w:color="auto"/>
              <w:right w:val="single" w:sz="4" w:space="0" w:color="auto"/>
            </w:tcBorders>
            <w:shd w:val="clear" w:color="auto" w:fill="auto"/>
            <w:noWrap/>
            <w:vAlign w:val="center"/>
            <w:hideMark/>
          </w:tcPr>
          <w:p w14:paraId="1A9CD125" w14:textId="77777777" w:rsidR="000976F9" w:rsidRPr="000D03B4" w:rsidRDefault="000976F9" w:rsidP="00A745DB">
            <w:pPr>
              <w:widowControl/>
              <w:snapToGrid w:val="0"/>
              <w:jc w:val="left"/>
              <w:rPr>
                <w:kern w:val="0"/>
                <w:sz w:val="18"/>
                <w:szCs w:val="18"/>
              </w:rPr>
            </w:pPr>
            <w:r w:rsidRPr="000D03B4">
              <w:rPr>
                <w:kern w:val="0"/>
                <w:sz w:val="18"/>
                <w:szCs w:val="18"/>
              </w:rPr>
              <w:t>为农村集体经济提供咨询服务</w:t>
            </w:r>
          </w:p>
        </w:tc>
      </w:tr>
      <w:tr w:rsidR="000976F9" w:rsidRPr="000D03B4" w14:paraId="38B625F0" w14:textId="77777777" w:rsidTr="003E2E35">
        <w:trPr>
          <w:trHeight w:val="20"/>
        </w:trPr>
        <w:tc>
          <w:tcPr>
            <w:tcW w:w="690" w:type="pct"/>
            <w:vMerge/>
            <w:tcBorders>
              <w:top w:val="nil"/>
              <w:left w:val="single" w:sz="4" w:space="0" w:color="auto"/>
              <w:bottom w:val="single" w:sz="4" w:space="0" w:color="000000"/>
              <w:right w:val="single" w:sz="4" w:space="0" w:color="auto"/>
            </w:tcBorders>
            <w:vAlign w:val="center"/>
            <w:hideMark/>
          </w:tcPr>
          <w:p w14:paraId="4066288F"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2A2EDFD3"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634D6E61" w14:textId="77777777" w:rsidR="000976F9" w:rsidRPr="000D03B4" w:rsidRDefault="000976F9" w:rsidP="00A745DB">
            <w:pPr>
              <w:widowControl/>
              <w:snapToGrid w:val="0"/>
              <w:jc w:val="left"/>
              <w:rPr>
                <w:kern w:val="0"/>
                <w:sz w:val="18"/>
                <w:szCs w:val="18"/>
              </w:rPr>
            </w:pPr>
            <w:r w:rsidRPr="000D03B4">
              <w:rPr>
                <w:kern w:val="0"/>
                <w:sz w:val="18"/>
                <w:szCs w:val="18"/>
              </w:rPr>
              <w:t>3.2.5</w:t>
            </w:r>
          </w:p>
        </w:tc>
        <w:tc>
          <w:tcPr>
            <w:tcW w:w="2928" w:type="pct"/>
            <w:tcBorders>
              <w:top w:val="nil"/>
              <w:left w:val="nil"/>
              <w:bottom w:val="single" w:sz="4" w:space="0" w:color="auto"/>
              <w:right w:val="single" w:sz="4" w:space="0" w:color="auto"/>
            </w:tcBorders>
            <w:shd w:val="clear" w:color="auto" w:fill="auto"/>
            <w:noWrap/>
            <w:vAlign w:val="center"/>
            <w:hideMark/>
          </w:tcPr>
          <w:p w14:paraId="2C905914" w14:textId="77777777" w:rsidR="000976F9" w:rsidRPr="000D03B4" w:rsidRDefault="000976F9" w:rsidP="00A745DB">
            <w:pPr>
              <w:widowControl/>
              <w:snapToGrid w:val="0"/>
              <w:jc w:val="left"/>
              <w:rPr>
                <w:kern w:val="0"/>
                <w:sz w:val="18"/>
                <w:szCs w:val="18"/>
              </w:rPr>
            </w:pPr>
            <w:r w:rsidRPr="000D03B4">
              <w:rPr>
                <w:kern w:val="0"/>
                <w:sz w:val="18"/>
                <w:szCs w:val="18"/>
              </w:rPr>
              <w:t>工程造价咨询业务</w:t>
            </w:r>
          </w:p>
        </w:tc>
      </w:tr>
      <w:tr w:rsidR="000976F9" w:rsidRPr="000D03B4" w14:paraId="05AFFB34" w14:textId="77777777" w:rsidTr="003E2E35">
        <w:trPr>
          <w:trHeight w:val="20"/>
        </w:trPr>
        <w:tc>
          <w:tcPr>
            <w:tcW w:w="690" w:type="pct"/>
            <w:vMerge/>
            <w:tcBorders>
              <w:top w:val="nil"/>
              <w:left w:val="single" w:sz="4" w:space="0" w:color="auto"/>
              <w:bottom w:val="single" w:sz="4" w:space="0" w:color="000000"/>
              <w:right w:val="single" w:sz="4" w:space="0" w:color="auto"/>
            </w:tcBorders>
            <w:vAlign w:val="center"/>
            <w:hideMark/>
          </w:tcPr>
          <w:p w14:paraId="3EDA4194"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561298FD"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22841407" w14:textId="77777777" w:rsidR="000976F9" w:rsidRPr="000D03B4" w:rsidRDefault="000976F9" w:rsidP="00A745DB">
            <w:pPr>
              <w:widowControl/>
              <w:snapToGrid w:val="0"/>
              <w:jc w:val="left"/>
              <w:rPr>
                <w:kern w:val="0"/>
                <w:sz w:val="18"/>
                <w:szCs w:val="18"/>
              </w:rPr>
            </w:pPr>
            <w:r w:rsidRPr="000D03B4">
              <w:rPr>
                <w:kern w:val="0"/>
                <w:sz w:val="18"/>
                <w:szCs w:val="18"/>
              </w:rPr>
              <w:t>3.2.6</w:t>
            </w:r>
          </w:p>
        </w:tc>
        <w:tc>
          <w:tcPr>
            <w:tcW w:w="2928" w:type="pct"/>
            <w:tcBorders>
              <w:top w:val="nil"/>
              <w:left w:val="nil"/>
              <w:bottom w:val="single" w:sz="4" w:space="0" w:color="auto"/>
              <w:right w:val="single" w:sz="4" w:space="0" w:color="auto"/>
            </w:tcBorders>
            <w:shd w:val="clear" w:color="auto" w:fill="auto"/>
            <w:noWrap/>
            <w:vAlign w:val="center"/>
            <w:hideMark/>
          </w:tcPr>
          <w:p w14:paraId="40011C85" w14:textId="77777777" w:rsidR="000976F9" w:rsidRPr="000D03B4" w:rsidRDefault="000976F9" w:rsidP="00A745DB">
            <w:pPr>
              <w:widowControl/>
              <w:snapToGrid w:val="0"/>
              <w:jc w:val="left"/>
              <w:rPr>
                <w:kern w:val="0"/>
                <w:sz w:val="18"/>
                <w:szCs w:val="18"/>
              </w:rPr>
            </w:pPr>
            <w:r w:rsidRPr="000D03B4">
              <w:rPr>
                <w:kern w:val="0"/>
                <w:sz w:val="18"/>
                <w:szCs w:val="18"/>
              </w:rPr>
              <w:t>家庭资产配置服务</w:t>
            </w:r>
          </w:p>
        </w:tc>
      </w:tr>
      <w:tr w:rsidR="000976F9" w:rsidRPr="000D03B4" w14:paraId="094AEF3F" w14:textId="77777777" w:rsidTr="003E2E35">
        <w:trPr>
          <w:trHeight w:val="20"/>
        </w:trPr>
        <w:tc>
          <w:tcPr>
            <w:tcW w:w="690" w:type="pct"/>
            <w:vMerge/>
            <w:tcBorders>
              <w:top w:val="nil"/>
              <w:left w:val="single" w:sz="4" w:space="0" w:color="auto"/>
              <w:bottom w:val="single" w:sz="4" w:space="0" w:color="000000"/>
              <w:right w:val="single" w:sz="4" w:space="0" w:color="auto"/>
            </w:tcBorders>
            <w:vAlign w:val="center"/>
            <w:hideMark/>
          </w:tcPr>
          <w:p w14:paraId="4B44A80C" w14:textId="77777777" w:rsidR="000976F9" w:rsidRPr="000D03B4" w:rsidRDefault="000976F9" w:rsidP="00A745DB">
            <w:pPr>
              <w:widowControl/>
              <w:snapToGrid w:val="0"/>
              <w:jc w:val="left"/>
              <w:rPr>
                <w:kern w:val="0"/>
                <w:sz w:val="18"/>
                <w:szCs w:val="18"/>
              </w:rPr>
            </w:pPr>
          </w:p>
        </w:tc>
        <w:tc>
          <w:tcPr>
            <w:tcW w:w="946" w:type="pct"/>
            <w:vMerge/>
            <w:tcBorders>
              <w:top w:val="nil"/>
              <w:left w:val="single" w:sz="4" w:space="0" w:color="auto"/>
              <w:bottom w:val="single" w:sz="4" w:space="0" w:color="000000"/>
              <w:right w:val="single" w:sz="4" w:space="0" w:color="auto"/>
            </w:tcBorders>
            <w:vAlign w:val="center"/>
            <w:hideMark/>
          </w:tcPr>
          <w:p w14:paraId="23EFAA01" w14:textId="77777777" w:rsidR="000976F9" w:rsidRPr="000D03B4" w:rsidRDefault="000976F9" w:rsidP="00A745DB">
            <w:pPr>
              <w:widowControl/>
              <w:snapToGrid w:val="0"/>
              <w:jc w:val="left"/>
              <w:rPr>
                <w:kern w:val="0"/>
                <w:sz w:val="18"/>
                <w:szCs w:val="18"/>
              </w:rPr>
            </w:pPr>
          </w:p>
        </w:tc>
        <w:tc>
          <w:tcPr>
            <w:tcW w:w="435" w:type="pct"/>
            <w:tcBorders>
              <w:top w:val="nil"/>
              <w:left w:val="nil"/>
              <w:bottom w:val="single" w:sz="4" w:space="0" w:color="auto"/>
              <w:right w:val="single" w:sz="4" w:space="0" w:color="auto"/>
            </w:tcBorders>
            <w:shd w:val="clear" w:color="auto" w:fill="auto"/>
            <w:noWrap/>
            <w:vAlign w:val="center"/>
            <w:hideMark/>
          </w:tcPr>
          <w:p w14:paraId="3C59B371" w14:textId="77777777" w:rsidR="000976F9" w:rsidRPr="000D03B4" w:rsidRDefault="000976F9" w:rsidP="00A745DB">
            <w:pPr>
              <w:widowControl/>
              <w:snapToGrid w:val="0"/>
              <w:jc w:val="left"/>
              <w:rPr>
                <w:kern w:val="0"/>
                <w:sz w:val="18"/>
                <w:szCs w:val="18"/>
              </w:rPr>
            </w:pPr>
            <w:r w:rsidRPr="000D03B4">
              <w:rPr>
                <w:kern w:val="0"/>
                <w:sz w:val="18"/>
                <w:szCs w:val="18"/>
              </w:rPr>
              <w:t>3.2.7</w:t>
            </w:r>
          </w:p>
        </w:tc>
        <w:tc>
          <w:tcPr>
            <w:tcW w:w="2928" w:type="pct"/>
            <w:tcBorders>
              <w:top w:val="nil"/>
              <w:left w:val="nil"/>
              <w:bottom w:val="single" w:sz="4" w:space="0" w:color="auto"/>
              <w:right w:val="single" w:sz="4" w:space="0" w:color="auto"/>
            </w:tcBorders>
            <w:shd w:val="clear" w:color="auto" w:fill="auto"/>
            <w:noWrap/>
            <w:vAlign w:val="center"/>
            <w:hideMark/>
          </w:tcPr>
          <w:p w14:paraId="5845D00A" w14:textId="77777777" w:rsidR="000976F9" w:rsidRPr="000D03B4" w:rsidRDefault="000976F9" w:rsidP="00A745DB">
            <w:pPr>
              <w:widowControl/>
              <w:snapToGrid w:val="0"/>
              <w:jc w:val="left"/>
              <w:rPr>
                <w:kern w:val="0"/>
                <w:sz w:val="18"/>
                <w:szCs w:val="18"/>
              </w:rPr>
            </w:pPr>
            <w:r w:rsidRPr="000D03B4">
              <w:rPr>
                <w:kern w:val="0"/>
                <w:sz w:val="18"/>
                <w:szCs w:val="18"/>
              </w:rPr>
              <w:t>个人理财服务</w:t>
            </w:r>
          </w:p>
        </w:tc>
      </w:tr>
    </w:tbl>
    <w:p w14:paraId="5A39331A" w14:textId="5773FFB5" w:rsidR="000976F9" w:rsidRPr="000D03B4" w:rsidRDefault="00EE02E2" w:rsidP="00C9592A">
      <w:pPr>
        <w:spacing w:line="276" w:lineRule="auto"/>
        <w:ind w:firstLineChars="200" w:firstLine="482"/>
        <w:rPr>
          <w:b/>
          <w:sz w:val="24"/>
        </w:rPr>
      </w:pPr>
      <w:bookmarkStart w:id="140" w:name="_Toc10395406"/>
      <w:r w:rsidRPr="000D03B4">
        <w:rPr>
          <w:b/>
          <w:sz w:val="24"/>
        </w:rPr>
        <w:t>（一）</w:t>
      </w:r>
      <w:r w:rsidR="000976F9" w:rsidRPr="000D03B4">
        <w:rPr>
          <w:b/>
          <w:sz w:val="24"/>
        </w:rPr>
        <w:t>企业</w:t>
      </w:r>
      <w:r w:rsidR="00DE126D" w:rsidRPr="000D03B4">
        <w:rPr>
          <w:b/>
          <w:sz w:val="24"/>
        </w:rPr>
        <w:t>咨询</w:t>
      </w:r>
      <w:r w:rsidR="000976F9" w:rsidRPr="000D03B4">
        <w:rPr>
          <w:b/>
          <w:sz w:val="24"/>
        </w:rPr>
        <w:t>类业务需求</w:t>
      </w:r>
      <w:bookmarkEnd w:id="140"/>
    </w:p>
    <w:p w14:paraId="5F6A5797" w14:textId="0463725B" w:rsidR="000976F9" w:rsidRPr="000D03B4" w:rsidRDefault="00EE02E2" w:rsidP="00C9592A">
      <w:pPr>
        <w:spacing w:line="276" w:lineRule="auto"/>
        <w:ind w:firstLineChars="200" w:firstLine="480"/>
        <w:rPr>
          <w:sz w:val="24"/>
        </w:rPr>
      </w:pPr>
      <w:bookmarkStart w:id="141" w:name="_Toc10395407"/>
      <w:r w:rsidRPr="000D03B4">
        <w:rPr>
          <w:sz w:val="24"/>
        </w:rPr>
        <w:t>1.</w:t>
      </w:r>
      <w:r w:rsidR="000976F9" w:rsidRPr="000D03B4">
        <w:rPr>
          <w:sz w:val="24"/>
        </w:rPr>
        <w:t>业务来源</w:t>
      </w:r>
      <w:bookmarkEnd w:id="141"/>
    </w:p>
    <w:p w14:paraId="0DAF3252" w14:textId="756B543D" w:rsidR="000976F9" w:rsidRPr="000D03B4" w:rsidRDefault="00AF5E5C" w:rsidP="00AF5E5C">
      <w:pPr>
        <w:spacing w:line="276" w:lineRule="auto"/>
        <w:ind w:firstLineChars="200" w:firstLine="480"/>
        <w:rPr>
          <w:sz w:val="24"/>
        </w:rPr>
      </w:pPr>
      <w:r w:rsidRPr="000D03B4">
        <w:rPr>
          <w:rFonts w:hint="eastAsia"/>
          <w:sz w:val="24"/>
        </w:rPr>
        <w:t>企业触发咨询类业务需求的经济行为主要包括尽职调查、税基评估、财务管理、合</w:t>
      </w:r>
      <w:proofErr w:type="gramStart"/>
      <w:r w:rsidRPr="000D03B4">
        <w:rPr>
          <w:rFonts w:hint="eastAsia"/>
          <w:sz w:val="24"/>
        </w:rPr>
        <w:t>规</w:t>
      </w:r>
      <w:proofErr w:type="gramEnd"/>
      <w:r w:rsidRPr="000D03B4">
        <w:rPr>
          <w:rFonts w:hint="eastAsia"/>
          <w:sz w:val="24"/>
        </w:rPr>
        <w:t>管理、经营管理、特定行为管理等。</w:t>
      </w:r>
    </w:p>
    <w:p w14:paraId="4FE8326C" w14:textId="555FE7DE" w:rsidR="000976F9" w:rsidRPr="000D03B4" w:rsidRDefault="000976F9" w:rsidP="00C9592A">
      <w:pPr>
        <w:spacing w:line="276" w:lineRule="auto"/>
        <w:ind w:firstLineChars="200" w:firstLine="480"/>
        <w:rPr>
          <w:sz w:val="24"/>
        </w:rPr>
      </w:pPr>
      <w:r w:rsidRPr="000D03B4">
        <w:rPr>
          <w:sz w:val="24"/>
        </w:rPr>
        <w:t>其中，尽职调查</w:t>
      </w:r>
      <w:r w:rsidR="004602CE" w:rsidRPr="000D03B4">
        <w:rPr>
          <w:sz w:val="24"/>
        </w:rPr>
        <w:t>主要</w:t>
      </w:r>
      <w:r w:rsidRPr="000D03B4">
        <w:rPr>
          <w:sz w:val="24"/>
        </w:rPr>
        <w:t>包括一般尽职调查和企业境外资产巡查</w:t>
      </w:r>
      <w:r w:rsidR="00016610" w:rsidRPr="000D03B4">
        <w:rPr>
          <w:sz w:val="24"/>
        </w:rPr>
        <w:t>等</w:t>
      </w:r>
      <w:r w:rsidRPr="000D03B4">
        <w:rPr>
          <w:sz w:val="24"/>
        </w:rPr>
        <w:t>；税基评估主要包括计税价格评估、认定报关价格</w:t>
      </w:r>
      <w:r w:rsidR="00016610" w:rsidRPr="000D03B4">
        <w:rPr>
          <w:sz w:val="24"/>
        </w:rPr>
        <w:t>等</w:t>
      </w:r>
      <w:r w:rsidRPr="000D03B4">
        <w:rPr>
          <w:sz w:val="24"/>
        </w:rPr>
        <w:t>；经营管理主要包括</w:t>
      </w:r>
      <w:r w:rsidR="00DE126D" w:rsidRPr="000D03B4">
        <w:rPr>
          <w:sz w:val="24"/>
        </w:rPr>
        <w:t>价值驱动因素识别、资产配置研究、投资前的尽职调查、投资后的评价管理、资产管理、人力资源管理咨询、激励约束机制设计及评价、流程重构</w:t>
      </w:r>
      <w:r w:rsidR="00DE126D" w:rsidRPr="000D03B4">
        <w:rPr>
          <w:sz w:val="24"/>
        </w:rPr>
        <w:t>/</w:t>
      </w:r>
      <w:r w:rsidR="00DE126D" w:rsidRPr="000D03B4">
        <w:rPr>
          <w:sz w:val="24"/>
        </w:rPr>
        <w:t>重整、风险管理、价值管理和战略管理等；特定行为管理包括并购重组的交易结构</w:t>
      </w:r>
      <w:r w:rsidR="00DE126D" w:rsidRPr="000D03B4">
        <w:rPr>
          <w:sz w:val="24"/>
        </w:rPr>
        <w:t>/</w:t>
      </w:r>
      <w:r w:rsidR="00DE126D" w:rsidRPr="000D03B4">
        <w:rPr>
          <w:sz w:val="24"/>
        </w:rPr>
        <w:t>路径</w:t>
      </w:r>
      <w:r w:rsidR="00DE126D" w:rsidRPr="000D03B4">
        <w:rPr>
          <w:sz w:val="24"/>
        </w:rPr>
        <w:t>/</w:t>
      </w:r>
      <w:r w:rsidR="00DE126D" w:rsidRPr="000D03B4">
        <w:rPr>
          <w:sz w:val="24"/>
        </w:rPr>
        <w:t>方案等咨询、并购重组的税收问题咨询、破产顾问</w:t>
      </w:r>
      <w:r w:rsidR="00DE126D" w:rsidRPr="000D03B4">
        <w:rPr>
          <w:sz w:val="24"/>
        </w:rPr>
        <w:t>/</w:t>
      </w:r>
      <w:r w:rsidR="00DE126D" w:rsidRPr="000D03B4">
        <w:rPr>
          <w:sz w:val="24"/>
        </w:rPr>
        <w:t>托管人与接管人服务、破产诉讼与赔偿管理咨询和企业争端分析与调查等。</w:t>
      </w:r>
    </w:p>
    <w:p w14:paraId="152A2DF0" w14:textId="5CA83CE7" w:rsidR="000976F9" w:rsidRPr="000D03B4" w:rsidRDefault="00EE02E2" w:rsidP="00C9592A">
      <w:pPr>
        <w:spacing w:line="276" w:lineRule="auto"/>
        <w:ind w:firstLineChars="200" w:firstLine="480"/>
        <w:rPr>
          <w:sz w:val="24"/>
        </w:rPr>
      </w:pPr>
      <w:bookmarkStart w:id="142" w:name="_Toc10395408"/>
      <w:r w:rsidRPr="000D03B4">
        <w:rPr>
          <w:sz w:val="24"/>
        </w:rPr>
        <w:t>2.</w:t>
      </w:r>
      <w:r w:rsidR="000976F9" w:rsidRPr="000D03B4">
        <w:rPr>
          <w:sz w:val="24"/>
        </w:rPr>
        <w:t>文件依据</w:t>
      </w:r>
      <w:bookmarkEnd w:id="142"/>
    </w:p>
    <w:p w14:paraId="669A6DF6" w14:textId="367F4377" w:rsidR="00DE126D" w:rsidRPr="000D03B4" w:rsidRDefault="00DE126D" w:rsidP="00C9592A">
      <w:pPr>
        <w:spacing w:line="276" w:lineRule="auto"/>
        <w:ind w:firstLineChars="200" w:firstLine="480"/>
        <w:rPr>
          <w:sz w:val="24"/>
        </w:rPr>
      </w:pPr>
      <w:r w:rsidRPr="000D03B4">
        <w:rPr>
          <w:sz w:val="24"/>
        </w:rPr>
        <w:t>尽职调查、经营管理、特定经济行为管理</w:t>
      </w:r>
      <w:r w:rsidR="00F14A04" w:rsidRPr="000D03B4">
        <w:rPr>
          <w:sz w:val="24"/>
        </w:rPr>
        <w:t>等</w:t>
      </w:r>
      <w:r w:rsidRPr="000D03B4">
        <w:rPr>
          <w:sz w:val="24"/>
        </w:rPr>
        <w:t>咨询业务一般根据企业自身的相关需求进行委托。</w:t>
      </w:r>
      <w:r w:rsidR="0074771E" w:rsidRPr="000D03B4">
        <w:rPr>
          <w:sz w:val="24"/>
        </w:rPr>
        <w:t>部分</w:t>
      </w:r>
      <w:r w:rsidR="0096468C" w:rsidRPr="000D03B4">
        <w:rPr>
          <w:sz w:val="24"/>
        </w:rPr>
        <w:t>业务的相关文件依据如下：</w:t>
      </w:r>
    </w:p>
    <w:p w14:paraId="3AE71FF3" w14:textId="50CA8A21" w:rsidR="00CB2A28" w:rsidRPr="000D03B4" w:rsidRDefault="00EE02E2" w:rsidP="00105EDE">
      <w:pPr>
        <w:spacing w:line="276" w:lineRule="auto"/>
        <w:ind w:firstLineChars="200" w:firstLine="480"/>
        <w:jc w:val="left"/>
        <w:rPr>
          <w:sz w:val="24"/>
        </w:rPr>
      </w:pPr>
      <w:r w:rsidRPr="000D03B4">
        <w:rPr>
          <w:sz w:val="24"/>
        </w:rPr>
        <w:t>（</w:t>
      </w:r>
      <w:r w:rsidRPr="000D03B4">
        <w:rPr>
          <w:sz w:val="24"/>
        </w:rPr>
        <w:t>1</w:t>
      </w:r>
      <w:r w:rsidRPr="000D03B4">
        <w:rPr>
          <w:sz w:val="24"/>
        </w:rPr>
        <w:t>）</w:t>
      </w:r>
      <w:r w:rsidR="00CB2A28" w:rsidRPr="000D03B4">
        <w:rPr>
          <w:sz w:val="24"/>
        </w:rPr>
        <w:t>《政府和社会资本合作（</w:t>
      </w:r>
      <w:r w:rsidR="00CB2A28" w:rsidRPr="000D03B4">
        <w:rPr>
          <w:sz w:val="24"/>
        </w:rPr>
        <w:t>PPP</w:t>
      </w:r>
      <w:r w:rsidR="00CB2A28" w:rsidRPr="000D03B4">
        <w:rPr>
          <w:sz w:val="24"/>
        </w:rPr>
        <w:t>）项目资产证券化业务尽职调查工作细则》（</w:t>
      </w:r>
      <w:proofErr w:type="gramStart"/>
      <w:r w:rsidR="00CB2A28" w:rsidRPr="000D03B4">
        <w:rPr>
          <w:sz w:val="24"/>
        </w:rPr>
        <w:t>中基协字</w:t>
      </w:r>
      <w:proofErr w:type="gramEnd"/>
      <w:r w:rsidR="00CB2A28" w:rsidRPr="000D03B4">
        <w:rPr>
          <w:sz w:val="24"/>
        </w:rPr>
        <w:t>〔</w:t>
      </w:r>
      <w:r w:rsidR="00CB2A28" w:rsidRPr="000D03B4">
        <w:rPr>
          <w:sz w:val="24"/>
        </w:rPr>
        <w:t>2019</w:t>
      </w:r>
      <w:r w:rsidR="00CB2A28" w:rsidRPr="000D03B4">
        <w:rPr>
          <w:sz w:val="24"/>
        </w:rPr>
        <w:t>〕</w:t>
      </w:r>
      <w:r w:rsidR="00CB2A28" w:rsidRPr="000D03B4">
        <w:rPr>
          <w:sz w:val="24"/>
        </w:rPr>
        <w:t>292</w:t>
      </w:r>
      <w:r w:rsidR="00CB2A28" w:rsidRPr="000D03B4">
        <w:rPr>
          <w:sz w:val="24"/>
        </w:rPr>
        <w:t>号）；</w:t>
      </w:r>
    </w:p>
    <w:p w14:paraId="57FF6637" w14:textId="2601BF33" w:rsidR="00836CE9" w:rsidRPr="000D03B4" w:rsidRDefault="00EE02E2" w:rsidP="00105EDE">
      <w:pPr>
        <w:spacing w:line="276" w:lineRule="auto"/>
        <w:ind w:firstLineChars="200" w:firstLine="480"/>
        <w:jc w:val="left"/>
        <w:rPr>
          <w:sz w:val="24"/>
        </w:rPr>
      </w:pPr>
      <w:r w:rsidRPr="000D03B4">
        <w:rPr>
          <w:sz w:val="24"/>
        </w:rPr>
        <w:lastRenderedPageBreak/>
        <w:t>（</w:t>
      </w:r>
      <w:r w:rsidRPr="000D03B4">
        <w:rPr>
          <w:sz w:val="24"/>
        </w:rPr>
        <w:t>2</w:t>
      </w:r>
      <w:r w:rsidRPr="000D03B4">
        <w:rPr>
          <w:sz w:val="24"/>
        </w:rPr>
        <w:t>）</w:t>
      </w:r>
      <w:r w:rsidR="00836CE9" w:rsidRPr="000D03B4">
        <w:rPr>
          <w:sz w:val="24"/>
        </w:rPr>
        <w:t>《中央企业境外国有资产监督管理暂行办法》（国资委令第</w:t>
      </w:r>
      <w:r w:rsidR="00836CE9" w:rsidRPr="000D03B4">
        <w:rPr>
          <w:sz w:val="24"/>
        </w:rPr>
        <w:t>26</w:t>
      </w:r>
      <w:r w:rsidR="00836CE9" w:rsidRPr="000D03B4">
        <w:rPr>
          <w:sz w:val="24"/>
        </w:rPr>
        <w:t>号）</w:t>
      </w:r>
      <w:r w:rsidR="00DF1F3F" w:rsidRPr="000D03B4">
        <w:rPr>
          <w:sz w:val="24"/>
        </w:rPr>
        <w:t>；</w:t>
      </w:r>
    </w:p>
    <w:p w14:paraId="543CCDA4" w14:textId="4E327EBA" w:rsidR="00836CE9" w:rsidRPr="000D03B4" w:rsidRDefault="00EE02E2" w:rsidP="00105EDE">
      <w:pPr>
        <w:spacing w:line="276" w:lineRule="auto"/>
        <w:ind w:firstLineChars="200" w:firstLine="480"/>
        <w:jc w:val="left"/>
        <w:rPr>
          <w:sz w:val="24"/>
        </w:rPr>
      </w:pPr>
      <w:r w:rsidRPr="000D03B4">
        <w:rPr>
          <w:sz w:val="24"/>
        </w:rPr>
        <w:t>（</w:t>
      </w:r>
      <w:r w:rsidR="00DF1F3F" w:rsidRPr="000D03B4">
        <w:rPr>
          <w:sz w:val="24"/>
        </w:rPr>
        <w:t>3</w:t>
      </w:r>
      <w:r w:rsidRPr="000D03B4">
        <w:rPr>
          <w:sz w:val="24"/>
        </w:rPr>
        <w:t>）</w:t>
      </w:r>
      <w:r w:rsidR="00836CE9" w:rsidRPr="000D03B4">
        <w:rPr>
          <w:sz w:val="24"/>
        </w:rPr>
        <w:t>《企业重组业务企业所得税管理办法》（国家税务总局公告</w:t>
      </w:r>
      <w:r w:rsidR="00C420D1" w:rsidRPr="000D03B4">
        <w:rPr>
          <w:sz w:val="24"/>
        </w:rPr>
        <w:t>2010</w:t>
      </w:r>
      <w:r w:rsidR="00C420D1" w:rsidRPr="000D03B4">
        <w:rPr>
          <w:sz w:val="24"/>
        </w:rPr>
        <w:t>年</w:t>
      </w:r>
      <w:r w:rsidR="00836CE9" w:rsidRPr="000D03B4">
        <w:rPr>
          <w:sz w:val="24"/>
        </w:rPr>
        <w:t>第</w:t>
      </w:r>
      <w:r w:rsidR="00836CE9" w:rsidRPr="000D03B4">
        <w:rPr>
          <w:sz w:val="24"/>
        </w:rPr>
        <w:t>4</w:t>
      </w:r>
      <w:r w:rsidR="00836CE9" w:rsidRPr="000D03B4">
        <w:rPr>
          <w:sz w:val="24"/>
        </w:rPr>
        <w:t>号）；</w:t>
      </w:r>
    </w:p>
    <w:p w14:paraId="3BA9E392" w14:textId="36220D20" w:rsidR="00836CE9" w:rsidRPr="000D03B4" w:rsidRDefault="00EE02E2" w:rsidP="00105EDE">
      <w:pPr>
        <w:spacing w:line="276" w:lineRule="auto"/>
        <w:ind w:firstLineChars="200" w:firstLine="480"/>
        <w:jc w:val="left"/>
        <w:rPr>
          <w:sz w:val="24"/>
        </w:rPr>
      </w:pPr>
      <w:r w:rsidRPr="000D03B4">
        <w:rPr>
          <w:sz w:val="24"/>
        </w:rPr>
        <w:t>（</w:t>
      </w:r>
      <w:r w:rsidR="00DF1F3F" w:rsidRPr="000D03B4">
        <w:rPr>
          <w:sz w:val="24"/>
        </w:rPr>
        <w:t>4</w:t>
      </w:r>
      <w:r w:rsidRPr="000D03B4">
        <w:rPr>
          <w:sz w:val="24"/>
        </w:rPr>
        <w:t>）</w:t>
      </w:r>
      <w:r w:rsidR="00836CE9" w:rsidRPr="000D03B4">
        <w:rPr>
          <w:sz w:val="24"/>
        </w:rPr>
        <w:t>《财政部</w:t>
      </w:r>
      <w:r w:rsidR="00836CE9" w:rsidRPr="000D03B4">
        <w:rPr>
          <w:sz w:val="24"/>
        </w:rPr>
        <w:t xml:space="preserve"> </w:t>
      </w:r>
      <w:r w:rsidR="00836CE9" w:rsidRPr="000D03B4">
        <w:rPr>
          <w:sz w:val="24"/>
        </w:rPr>
        <w:t>国家税务总局关于企业清算业务企业所得税处理若干问题的通知》（财税〔</w:t>
      </w:r>
      <w:r w:rsidR="00836CE9" w:rsidRPr="000D03B4">
        <w:rPr>
          <w:sz w:val="24"/>
        </w:rPr>
        <w:t>2009</w:t>
      </w:r>
      <w:r w:rsidR="00836CE9" w:rsidRPr="000D03B4">
        <w:rPr>
          <w:sz w:val="24"/>
        </w:rPr>
        <w:t>〕</w:t>
      </w:r>
      <w:r w:rsidR="00836CE9" w:rsidRPr="000D03B4">
        <w:rPr>
          <w:sz w:val="24"/>
        </w:rPr>
        <w:t>60</w:t>
      </w:r>
      <w:r w:rsidR="00836CE9" w:rsidRPr="000D03B4">
        <w:rPr>
          <w:sz w:val="24"/>
        </w:rPr>
        <w:t>号）；</w:t>
      </w:r>
    </w:p>
    <w:p w14:paraId="7F8C2D74" w14:textId="3C7286D0" w:rsidR="00836CE9" w:rsidRPr="000D03B4" w:rsidRDefault="00EE02E2" w:rsidP="00105EDE">
      <w:pPr>
        <w:spacing w:line="276" w:lineRule="auto"/>
        <w:ind w:firstLineChars="200" w:firstLine="480"/>
        <w:jc w:val="left"/>
        <w:rPr>
          <w:sz w:val="24"/>
        </w:rPr>
      </w:pPr>
      <w:r w:rsidRPr="000D03B4">
        <w:rPr>
          <w:sz w:val="24"/>
        </w:rPr>
        <w:t>（</w:t>
      </w:r>
      <w:r w:rsidR="00DF1F3F" w:rsidRPr="000D03B4">
        <w:rPr>
          <w:sz w:val="24"/>
        </w:rPr>
        <w:t>5</w:t>
      </w:r>
      <w:r w:rsidRPr="000D03B4">
        <w:rPr>
          <w:sz w:val="24"/>
        </w:rPr>
        <w:t>）</w:t>
      </w:r>
      <w:r w:rsidR="00836CE9" w:rsidRPr="000D03B4">
        <w:rPr>
          <w:sz w:val="24"/>
        </w:rPr>
        <w:t>《特别纳税调整实施办法（试行）》（国税发〔</w:t>
      </w:r>
      <w:r w:rsidR="00836CE9" w:rsidRPr="000D03B4">
        <w:rPr>
          <w:sz w:val="24"/>
        </w:rPr>
        <w:t>2009</w:t>
      </w:r>
      <w:r w:rsidR="00836CE9" w:rsidRPr="000D03B4">
        <w:rPr>
          <w:sz w:val="24"/>
        </w:rPr>
        <w:t>〕</w:t>
      </w:r>
      <w:r w:rsidR="00836CE9" w:rsidRPr="000D03B4">
        <w:rPr>
          <w:sz w:val="24"/>
        </w:rPr>
        <w:t>2</w:t>
      </w:r>
      <w:r w:rsidR="00836CE9" w:rsidRPr="000D03B4">
        <w:rPr>
          <w:sz w:val="24"/>
        </w:rPr>
        <w:t>号）</w:t>
      </w:r>
      <w:r w:rsidR="007E2849" w:rsidRPr="000D03B4">
        <w:rPr>
          <w:sz w:val="24"/>
        </w:rPr>
        <w:t>；</w:t>
      </w:r>
    </w:p>
    <w:p w14:paraId="3FB8BE0A" w14:textId="01E466C3" w:rsidR="00836CE9" w:rsidRPr="000D03B4" w:rsidRDefault="00EE02E2" w:rsidP="00105EDE">
      <w:pPr>
        <w:spacing w:line="276" w:lineRule="auto"/>
        <w:ind w:firstLineChars="200" w:firstLine="480"/>
        <w:jc w:val="left"/>
        <w:rPr>
          <w:sz w:val="24"/>
        </w:rPr>
      </w:pPr>
      <w:r w:rsidRPr="000D03B4">
        <w:rPr>
          <w:sz w:val="24"/>
        </w:rPr>
        <w:t>（</w:t>
      </w:r>
      <w:r w:rsidR="00DF1F3F" w:rsidRPr="000D03B4">
        <w:rPr>
          <w:sz w:val="24"/>
        </w:rPr>
        <w:t>6</w:t>
      </w:r>
      <w:r w:rsidRPr="000D03B4">
        <w:rPr>
          <w:sz w:val="24"/>
        </w:rPr>
        <w:t>）</w:t>
      </w:r>
      <w:r w:rsidR="00836CE9" w:rsidRPr="000D03B4">
        <w:rPr>
          <w:sz w:val="24"/>
        </w:rPr>
        <w:t>《关于完善关联申报和同期资料管理有关事项的公告》（国家税务总局公告</w:t>
      </w:r>
      <w:r w:rsidR="00836CE9" w:rsidRPr="000D03B4">
        <w:rPr>
          <w:sz w:val="24"/>
        </w:rPr>
        <w:t>2016</w:t>
      </w:r>
      <w:r w:rsidR="00836CE9" w:rsidRPr="000D03B4">
        <w:rPr>
          <w:sz w:val="24"/>
        </w:rPr>
        <w:t>年第</w:t>
      </w:r>
      <w:r w:rsidR="00836CE9" w:rsidRPr="000D03B4">
        <w:rPr>
          <w:sz w:val="24"/>
        </w:rPr>
        <w:t>42</w:t>
      </w:r>
      <w:r w:rsidR="00D71ED8" w:rsidRPr="000D03B4">
        <w:rPr>
          <w:sz w:val="24"/>
        </w:rPr>
        <w:t>号）；</w:t>
      </w:r>
    </w:p>
    <w:p w14:paraId="2D5F6C10" w14:textId="47A29682" w:rsidR="00836CE9" w:rsidRPr="000D03B4" w:rsidRDefault="00EE02E2" w:rsidP="00105EDE">
      <w:pPr>
        <w:spacing w:line="276" w:lineRule="auto"/>
        <w:ind w:firstLineChars="200" w:firstLine="480"/>
        <w:jc w:val="left"/>
        <w:rPr>
          <w:sz w:val="24"/>
        </w:rPr>
      </w:pPr>
      <w:r w:rsidRPr="000D03B4">
        <w:rPr>
          <w:sz w:val="24"/>
        </w:rPr>
        <w:t>（</w:t>
      </w:r>
      <w:r w:rsidR="00FF5D8B" w:rsidRPr="000D03B4">
        <w:rPr>
          <w:sz w:val="24"/>
        </w:rPr>
        <w:t>7</w:t>
      </w:r>
      <w:r w:rsidRPr="000D03B4">
        <w:rPr>
          <w:sz w:val="24"/>
        </w:rPr>
        <w:t>）</w:t>
      </w:r>
      <w:r w:rsidR="00836CE9" w:rsidRPr="000D03B4">
        <w:rPr>
          <w:sz w:val="24"/>
        </w:rPr>
        <w:t>《</w:t>
      </w:r>
      <w:r w:rsidR="004139F1" w:rsidRPr="000D03B4">
        <w:rPr>
          <w:sz w:val="24"/>
        </w:rPr>
        <w:t>中华人民共和国</w:t>
      </w:r>
      <w:r w:rsidR="00836CE9" w:rsidRPr="000D03B4">
        <w:rPr>
          <w:sz w:val="24"/>
        </w:rPr>
        <w:t>海关法》</w:t>
      </w:r>
      <w:r w:rsidR="002F69FA" w:rsidRPr="000D03B4">
        <w:rPr>
          <w:sz w:val="24"/>
        </w:rPr>
        <w:t>（</w:t>
      </w:r>
      <w:r w:rsidR="009E7704" w:rsidRPr="000D03B4">
        <w:rPr>
          <w:sz w:val="24"/>
        </w:rPr>
        <w:t>1987</w:t>
      </w:r>
      <w:r w:rsidR="009E7704" w:rsidRPr="000D03B4">
        <w:rPr>
          <w:sz w:val="24"/>
        </w:rPr>
        <w:t>年</w:t>
      </w:r>
      <w:r w:rsidR="009E7704" w:rsidRPr="000D03B4">
        <w:rPr>
          <w:sz w:val="24"/>
        </w:rPr>
        <w:t>1</w:t>
      </w:r>
      <w:r w:rsidR="009E7704" w:rsidRPr="000D03B4">
        <w:rPr>
          <w:sz w:val="24"/>
        </w:rPr>
        <w:t>月</w:t>
      </w:r>
      <w:r w:rsidR="009E7704" w:rsidRPr="000D03B4">
        <w:rPr>
          <w:sz w:val="24"/>
        </w:rPr>
        <w:t>22</w:t>
      </w:r>
      <w:r w:rsidR="009E7704" w:rsidRPr="000D03B4">
        <w:rPr>
          <w:sz w:val="24"/>
        </w:rPr>
        <w:t>日第六届全国人民代表大会常务委员会第十九次会议通过</w:t>
      </w:r>
      <w:r w:rsidR="009E7704" w:rsidRPr="000D03B4">
        <w:rPr>
          <w:sz w:val="24"/>
        </w:rPr>
        <w:t xml:space="preserve">  </w:t>
      </w:r>
      <w:r w:rsidR="009E7704" w:rsidRPr="000D03B4">
        <w:rPr>
          <w:sz w:val="24"/>
        </w:rPr>
        <w:t>根据</w:t>
      </w:r>
      <w:r w:rsidR="009E7704" w:rsidRPr="000D03B4">
        <w:rPr>
          <w:sz w:val="24"/>
        </w:rPr>
        <w:t>2000</w:t>
      </w:r>
      <w:r w:rsidR="009E7704" w:rsidRPr="000D03B4">
        <w:rPr>
          <w:sz w:val="24"/>
        </w:rPr>
        <w:t>年</w:t>
      </w:r>
      <w:r w:rsidR="009E7704" w:rsidRPr="000D03B4">
        <w:rPr>
          <w:sz w:val="24"/>
        </w:rPr>
        <w:t>7</w:t>
      </w:r>
      <w:r w:rsidR="009E7704" w:rsidRPr="000D03B4">
        <w:rPr>
          <w:sz w:val="24"/>
        </w:rPr>
        <w:t>月</w:t>
      </w:r>
      <w:r w:rsidR="009E7704" w:rsidRPr="000D03B4">
        <w:rPr>
          <w:sz w:val="24"/>
        </w:rPr>
        <w:t>8</w:t>
      </w:r>
      <w:r w:rsidR="009E7704" w:rsidRPr="000D03B4">
        <w:rPr>
          <w:sz w:val="24"/>
        </w:rPr>
        <w:t>日第九届全国人民代表大会常务委员会第十六次会议《关于修改〈中华人民共和国海关法〉的决定》第一次修正</w:t>
      </w:r>
      <w:r w:rsidR="009E7704" w:rsidRPr="000D03B4">
        <w:rPr>
          <w:sz w:val="24"/>
        </w:rPr>
        <w:t xml:space="preserve">  </w:t>
      </w:r>
      <w:r w:rsidR="009E7704" w:rsidRPr="000D03B4">
        <w:rPr>
          <w:sz w:val="24"/>
        </w:rPr>
        <w:t>根据</w:t>
      </w:r>
      <w:r w:rsidR="009E7704" w:rsidRPr="000D03B4">
        <w:rPr>
          <w:sz w:val="24"/>
        </w:rPr>
        <w:t>2013</w:t>
      </w:r>
      <w:r w:rsidR="009E7704" w:rsidRPr="000D03B4">
        <w:rPr>
          <w:sz w:val="24"/>
        </w:rPr>
        <w:t>年</w:t>
      </w:r>
      <w:r w:rsidR="009E7704" w:rsidRPr="000D03B4">
        <w:rPr>
          <w:sz w:val="24"/>
        </w:rPr>
        <w:t>6</w:t>
      </w:r>
      <w:r w:rsidR="009E7704" w:rsidRPr="000D03B4">
        <w:rPr>
          <w:sz w:val="24"/>
        </w:rPr>
        <w:t>月</w:t>
      </w:r>
      <w:r w:rsidR="009E7704" w:rsidRPr="000D03B4">
        <w:rPr>
          <w:sz w:val="24"/>
        </w:rPr>
        <w:t>29</w:t>
      </w:r>
      <w:r w:rsidR="009E7704" w:rsidRPr="000D03B4">
        <w:rPr>
          <w:sz w:val="24"/>
        </w:rPr>
        <w:t>日第十二届全国人民代表大会常务委员会第三次会议《关于修改〈中华人民共和国文物保护法〉等十二部法律的决定》第二次修正</w:t>
      </w:r>
      <w:r w:rsidR="009E7704" w:rsidRPr="000D03B4">
        <w:rPr>
          <w:sz w:val="24"/>
        </w:rPr>
        <w:t xml:space="preserve">  </w:t>
      </w:r>
      <w:r w:rsidR="009E7704" w:rsidRPr="000D03B4">
        <w:rPr>
          <w:sz w:val="24"/>
        </w:rPr>
        <w:t>根据</w:t>
      </w:r>
      <w:r w:rsidR="009E7704" w:rsidRPr="000D03B4">
        <w:rPr>
          <w:sz w:val="24"/>
        </w:rPr>
        <w:t>2013</w:t>
      </w:r>
      <w:r w:rsidR="009E7704" w:rsidRPr="000D03B4">
        <w:rPr>
          <w:sz w:val="24"/>
        </w:rPr>
        <w:t>年</w:t>
      </w:r>
      <w:r w:rsidR="009E7704" w:rsidRPr="000D03B4">
        <w:rPr>
          <w:sz w:val="24"/>
        </w:rPr>
        <w:t>12</w:t>
      </w:r>
      <w:r w:rsidR="009E7704" w:rsidRPr="000D03B4">
        <w:rPr>
          <w:sz w:val="24"/>
        </w:rPr>
        <w:t>月</w:t>
      </w:r>
      <w:r w:rsidR="009E7704" w:rsidRPr="000D03B4">
        <w:rPr>
          <w:sz w:val="24"/>
        </w:rPr>
        <w:t>28</w:t>
      </w:r>
      <w:r w:rsidR="009E7704" w:rsidRPr="000D03B4">
        <w:rPr>
          <w:sz w:val="24"/>
        </w:rPr>
        <w:t>日第十二届全国人民代表大会常务委员会第六次会议《关于修改〈中华人民共和国海洋环境保护法〉等七部法律的决定》第三次修正</w:t>
      </w:r>
      <w:r w:rsidR="009E7704" w:rsidRPr="000D03B4">
        <w:rPr>
          <w:sz w:val="24"/>
        </w:rPr>
        <w:t xml:space="preserve">  </w:t>
      </w:r>
      <w:r w:rsidR="009E7704" w:rsidRPr="000D03B4">
        <w:rPr>
          <w:sz w:val="24"/>
        </w:rPr>
        <w:t>根据</w:t>
      </w:r>
      <w:r w:rsidR="009E7704" w:rsidRPr="000D03B4">
        <w:rPr>
          <w:sz w:val="24"/>
        </w:rPr>
        <w:t>2016</w:t>
      </w:r>
      <w:r w:rsidR="009E7704" w:rsidRPr="000D03B4">
        <w:rPr>
          <w:sz w:val="24"/>
        </w:rPr>
        <w:t>年</w:t>
      </w:r>
      <w:r w:rsidR="009E7704" w:rsidRPr="000D03B4">
        <w:rPr>
          <w:sz w:val="24"/>
        </w:rPr>
        <w:t>11</w:t>
      </w:r>
      <w:r w:rsidR="009E7704" w:rsidRPr="000D03B4">
        <w:rPr>
          <w:sz w:val="24"/>
        </w:rPr>
        <w:t>月</w:t>
      </w:r>
      <w:r w:rsidR="009E7704" w:rsidRPr="000D03B4">
        <w:rPr>
          <w:sz w:val="24"/>
        </w:rPr>
        <w:t>7</w:t>
      </w:r>
      <w:r w:rsidR="009E7704" w:rsidRPr="000D03B4">
        <w:rPr>
          <w:sz w:val="24"/>
        </w:rPr>
        <w:t>日第十二届全国人民代表大会常务委员会第二十四次会议《关于修改〈中华人民共和国对外贸易法〉等十二部法律的决定》第四次修正</w:t>
      </w:r>
      <w:r w:rsidR="009E7704" w:rsidRPr="000D03B4">
        <w:rPr>
          <w:sz w:val="24"/>
        </w:rPr>
        <w:t xml:space="preserve">  </w:t>
      </w:r>
      <w:r w:rsidR="009E7704" w:rsidRPr="000D03B4">
        <w:rPr>
          <w:sz w:val="24"/>
        </w:rPr>
        <w:t>根据</w:t>
      </w:r>
      <w:r w:rsidR="009E7704" w:rsidRPr="000D03B4">
        <w:rPr>
          <w:sz w:val="24"/>
        </w:rPr>
        <w:t>2017</w:t>
      </w:r>
      <w:r w:rsidR="009E7704" w:rsidRPr="000D03B4">
        <w:rPr>
          <w:sz w:val="24"/>
        </w:rPr>
        <w:t>年</w:t>
      </w:r>
      <w:r w:rsidR="009E7704" w:rsidRPr="000D03B4">
        <w:rPr>
          <w:sz w:val="24"/>
        </w:rPr>
        <w:t>11</w:t>
      </w:r>
      <w:r w:rsidR="009E7704" w:rsidRPr="000D03B4">
        <w:rPr>
          <w:sz w:val="24"/>
        </w:rPr>
        <w:t>月</w:t>
      </w:r>
      <w:r w:rsidR="009E7704" w:rsidRPr="000D03B4">
        <w:rPr>
          <w:sz w:val="24"/>
        </w:rPr>
        <w:t>4</w:t>
      </w:r>
      <w:r w:rsidR="009E7704" w:rsidRPr="000D03B4">
        <w:rPr>
          <w:sz w:val="24"/>
        </w:rPr>
        <w:t>日第十二届全国人民代表大会常务委员会第三十次会议《关于修改〈中华人民共和国会计法〉等十一部法律的决定》第五次修正</w:t>
      </w:r>
      <w:r w:rsidR="002F69FA" w:rsidRPr="000D03B4">
        <w:rPr>
          <w:sz w:val="24"/>
        </w:rPr>
        <w:t>）</w:t>
      </w:r>
      <w:r w:rsidR="00DF1F3F" w:rsidRPr="000D03B4">
        <w:rPr>
          <w:sz w:val="24"/>
        </w:rPr>
        <w:t>；</w:t>
      </w:r>
    </w:p>
    <w:p w14:paraId="42704307" w14:textId="764A6865" w:rsidR="00836CE9" w:rsidRPr="000D03B4" w:rsidRDefault="00DF1F3F" w:rsidP="00105EDE">
      <w:pPr>
        <w:spacing w:line="276" w:lineRule="auto"/>
        <w:ind w:firstLineChars="200" w:firstLine="480"/>
        <w:jc w:val="left"/>
        <w:rPr>
          <w:sz w:val="24"/>
        </w:rPr>
      </w:pPr>
      <w:r w:rsidRPr="000D03B4">
        <w:rPr>
          <w:sz w:val="24"/>
        </w:rPr>
        <w:t>（</w:t>
      </w:r>
      <w:r w:rsidR="00FF5D8B" w:rsidRPr="000D03B4">
        <w:rPr>
          <w:sz w:val="24"/>
        </w:rPr>
        <w:t>8</w:t>
      </w:r>
      <w:r w:rsidRPr="000D03B4">
        <w:rPr>
          <w:sz w:val="24"/>
        </w:rPr>
        <w:t>）</w:t>
      </w:r>
      <w:r w:rsidR="00836CE9" w:rsidRPr="000D03B4">
        <w:rPr>
          <w:sz w:val="24"/>
        </w:rPr>
        <w:t>《企业财务通则》（财政部令第</w:t>
      </w:r>
      <w:r w:rsidR="00836CE9" w:rsidRPr="000D03B4">
        <w:rPr>
          <w:sz w:val="24"/>
        </w:rPr>
        <w:t>41</w:t>
      </w:r>
      <w:r w:rsidR="00836CE9" w:rsidRPr="000D03B4">
        <w:rPr>
          <w:sz w:val="24"/>
        </w:rPr>
        <w:t>号）</w:t>
      </w:r>
      <w:r w:rsidRPr="000D03B4">
        <w:rPr>
          <w:sz w:val="24"/>
        </w:rPr>
        <w:t>；</w:t>
      </w:r>
    </w:p>
    <w:p w14:paraId="091E1C4F" w14:textId="13894C12" w:rsidR="00836CE9" w:rsidRPr="000D03B4" w:rsidRDefault="00DF1F3F" w:rsidP="00105EDE">
      <w:pPr>
        <w:spacing w:line="276" w:lineRule="auto"/>
        <w:ind w:firstLineChars="200" w:firstLine="480"/>
        <w:jc w:val="left"/>
        <w:rPr>
          <w:sz w:val="24"/>
        </w:rPr>
      </w:pPr>
      <w:r w:rsidRPr="000D03B4">
        <w:rPr>
          <w:sz w:val="24"/>
        </w:rPr>
        <w:t>（</w:t>
      </w:r>
      <w:r w:rsidR="00FF5D8B" w:rsidRPr="000D03B4">
        <w:rPr>
          <w:sz w:val="24"/>
        </w:rPr>
        <w:t>9</w:t>
      </w:r>
      <w:r w:rsidRPr="000D03B4">
        <w:rPr>
          <w:sz w:val="24"/>
        </w:rPr>
        <w:t>）</w:t>
      </w:r>
      <w:r w:rsidR="00836CE9" w:rsidRPr="000D03B4">
        <w:rPr>
          <w:sz w:val="24"/>
        </w:rPr>
        <w:t>《证券公司合规管理试行规定》（中国证券监督管理委员会公告〔</w:t>
      </w:r>
      <w:r w:rsidR="00836CE9" w:rsidRPr="000D03B4">
        <w:rPr>
          <w:sz w:val="24"/>
        </w:rPr>
        <w:t>2008</w:t>
      </w:r>
      <w:r w:rsidR="00836CE9" w:rsidRPr="000D03B4">
        <w:rPr>
          <w:sz w:val="24"/>
        </w:rPr>
        <w:t>〕</w:t>
      </w:r>
      <w:r w:rsidR="00836CE9" w:rsidRPr="000D03B4">
        <w:rPr>
          <w:sz w:val="24"/>
        </w:rPr>
        <w:t>30</w:t>
      </w:r>
      <w:r w:rsidR="00836CE9" w:rsidRPr="000D03B4">
        <w:rPr>
          <w:sz w:val="24"/>
        </w:rPr>
        <w:t>号）</w:t>
      </w:r>
      <w:r w:rsidR="00A8203A">
        <w:rPr>
          <w:rFonts w:hint="eastAsia"/>
          <w:sz w:val="24"/>
        </w:rPr>
        <w:t>等</w:t>
      </w:r>
      <w:r w:rsidR="00836CE9" w:rsidRPr="000D03B4">
        <w:rPr>
          <w:sz w:val="24"/>
        </w:rPr>
        <w:t>。</w:t>
      </w:r>
    </w:p>
    <w:p w14:paraId="3B57D16B" w14:textId="5E79B43A" w:rsidR="000976F9" w:rsidRPr="000D03B4" w:rsidRDefault="00EE02E2" w:rsidP="00C9592A">
      <w:pPr>
        <w:spacing w:line="276" w:lineRule="auto"/>
        <w:ind w:firstLineChars="200" w:firstLine="482"/>
        <w:rPr>
          <w:b/>
          <w:sz w:val="24"/>
        </w:rPr>
      </w:pPr>
      <w:bookmarkStart w:id="143" w:name="_Toc10395413"/>
      <w:r w:rsidRPr="000D03B4">
        <w:rPr>
          <w:b/>
          <w:sz w:val="24"/>
        </w:rPr>
        <w:t>（二）</w:t>
      </w:r>
      <w:r w:rsidR="00D124C1" w:rsidRPr="000D03B4">
        <w:rPr>
          <w:b/>
          <w:sz w:val="24"/>
        </w:rPr>
        <w:t>其他</w:t>
      </w:r>
      <w:r w:rsidR="00836CE9" w:rsidRPr="000D03B4">
        <w:rPr>
          <w:b/>
          <w:sz w:val="24"/>
        </w:rPr>
        <w:t>咨询</w:t>
      </w:r>
      <w:r w:rsidR="000976F9" w:rsidRPr="000D03B4">
        <w:rPr>
          <w:b/>
          <w:sz w:val="24"/>
        </w:rPr>
        <w:t>类业务需求</w:t>
      </w:r>
      <w:bookmarkEnd w:id="143"/>
    </w:p>
    <w:p w14:paraId="3309B94F" w14:textId="57986D1A" w:rsidR="000976F9" w:rsidRPr="000D03B4" w:rsidRDefault="00EE02E2" w:rsidP="00C9592A">
      <w:pPr>
        <w:spacing w:line="276" w:lineRule="auto"/>
        <w:ind w:firstLineChars="200" w:firstLine="480"/>
        <w:rPr>
          <w:sz w:val="24"/>
        </w:rPr>
      </w:pPr>
      <w:bookmarkStart w:id="144" w:name="_Toc10395414"/>
      <w:r w:rsidRPr="000D03B4">
        <w:rPr>
          <w:sz w:val="24"/>
        </w:rPr>
        <w:t>1.</w:t>
      </w:r>
      <w:r w:rsidRPr="000D03B4">
        <w:rPr>
          <w:sz w:val="24"/>
        </w:rPr>
        <w:t>业务来源</w:t>
      </w:r>
      <w:bookmarkEnd w:id="144"/>
    </w:p>
    <w:p w14:paraId="633F53DF" w14:textId="76E21E92" w:rsidR="00166B8C" w:rsidRPr="000D03B4" w:rsidRDefault="00AF5E5C" w:rsidP="00AF5E5C">
      <w:pPr>
        <w:spacing w:line="276" w:lineRule="auto"/>
        <w:ind w:firstLineChars="200" w:firstLine="480"/>
        <w:rPr>
          <w:sz w:val="24"/>
        </w:rPr>
      </w:pPr>
      <w:r w:rsidRPr="000D03B4">
        <w:rPr>
          <w:rFonts w:hint="eastAsia"/>
          <w:sz w:val="24"/>
        </w:rPr>
        <w:t>其他咨询类业务需求主要包括为政府部门提供的管理咨询业务和为其他领域提供的管理咨询业务。其中，触发前者的经济行为主要包括质量信用评估、社会组织评估和预算绩效管理咨询等；触发后者的经济行为主要包括为农村集体经济提供咨询服务、工程造价咨询业务、家庭资产配置服务和个人理财服务等。</w:t>
      </w:r>
    </w:p>
    <w:p w14:paraId="616E5376" w14:textId="084EABE3" w:rsidR="000976F9" w:rsidRPr="000D03B4" w:rsidRDefault="00EE02E2" w:rsidP="00C9592A">
      <w:pPr>
        <w:spacing w:line="276" w:lineRule="auto"/>
        <w:ind w:firstLineChars="200" w:firstLine="480"/>
        <w:rPr>
          <w:sz w:val="24"/>
        </w:rPr>
      </w:pPr>
      <w:bookmarkStart w:id="145" w:name="_Toc10395415"/>
      <w:r w:rsidRPr="000D03B4">
        <w:rPr>
          <w:sz w:val="24"/>
        </w:rPr>
        <w:t>2.</w:t>
      </w:r>
      <w:r w:rsidR="000976F9" w:rsidRPr="000D03B4">
        <w:rPr>
          <w:sz w:val="24"/>
        </w:rPr>
        <w:t>文件依据</w:t>
      </w:r>
      <w:bookmarkEnd w:id="145"/>
    </w:p>
    <w:p w14:paraId="12D71B0A" w14:textId="014B0D01" w:rsidR="00506AE0" w:rsidRPr="000D03B4" w:rsidRDefault="00EE02E2" w:rsidP="00105EDE">
      <w:pPr>
        <w:spacing w:line="276" w:lineRule="auto"/>
        <w:ind w:firstLineChars="200" w:firstLine="480"/>
        <w:jc w:val="left"/>
        <w:rPr>
          <w:sz w:val="24"/>
        </w:rPr>
      </w:pPr>
      <w:r w:rsidRPr="000D03B4">
        <w:rPr>
          <w:sz w:val="24"/>
        </w:rPr>
        <w:t>（</w:t>
      </w:r>
      <w:r w:rsidRPr="000D03B4">
        <w:rPr>
          <w:sz w:val="24"/>
        </w:rPr>
        <w:t>1</w:t>
      </w:r>
      <w:r w:rsidRPr="000D03B4">
        <w:rPr>
          <w:sz w:val="24"/>
        </w:rPr>
        <w:t>）</w:t>
      </w:r>
      <w:r w:rsidR="00122127" w:rsidRPr="000D03B4">
        <w:rPr>
          <w:sz w:val="24"/>
        </w:rPr>
        <w:t>《国家质量监督检验检疫总局关于加强企业质量信用评估监管工作的意见》（国质检质〔</w:t>
      </w:r>
      <w:r w:rsidR="00122127" w:rsidRPr="000D03B4">
        <w:rPr>
          <w:sz w:val="24"/>
        </w:rPr>
        <w:t>2006</w:t>
      </w:r>
      <w:r w:rsidR="00122127" w:rsidRPr="000D03B4">
        <w:rPr>
          <w:sz w:val="24"/>
        </w:rPr>
        <w:t>〕</w:t>
      </w:r>
      <w:r w:rsidR="00122127" w:rsidRPr="000D03B4">
        <w:rPr>
          <w:sz w:val="24"/>
        </w:rPr>
        <w:t>464</w:t>
      </w:r>
      <w:r w:rsidR="00122127" w:rsidRPr="000D03B4">
        <w:rPr>
          <w:sz w:val="24"/>
        </w:rPr>
        <w:t>号）；</w:t>
      </w:r>
    </w:p>
    <w:p w14:paraId="61351417" w14:textId="4C8744ED" w:rsidR="00506AE0" w:rsidRPr="000D03B4" w:rsidRDefault="00EE02E2" w:rsidP="00105EDE">
      <w:pPr>
        <w:spacing w:line="276" w:lineRule="auto"/>
        <w:ind w:firstLineChars="200" w:firstLine="480"/>
        <w:jc w:val="left"/>
        <w:rPr>
          <w:sz w:val="24"/>
        </w:rPr>
      </w:pPr>
      <w:r w:rsidRPr="000D03B4">
        <w:rPr>
          <w:sz w:val="24"/>
        </w:rPr>
        <w:t>（</w:t>
      </w:r>
      <w:r w:rsidRPr="000D03B4">
        <w:rPr>
          <w:sz w:val="24"/>
        </w:rPr>
        <w:t>2</w:t>
      </w:r>
      <w:r w:rsidRPr="000D03B4">
        <w:rPr>
          <w:sz w:val="24"/>
        </w:rPr>
        <w:t>）</w:t>
      </w:r>
      <w:r w:rsidR="00122127" w:rsidRPr="000D03B4">
        <w:rPr>
          <w:sz w:val="24"/>
        </w:rPr>
        <w:t>《社会组织评估管理办法》（民政部令第</w:t>
      </w:r>
      <w:r w:rsidR="00122127" w:rsidRPr="000D03B4">
        <w:rPr>
          <w:sz w:val="24"/>
        </w:rPr>
        <w:t>39</w:t>
      </w:r>
      <w:r w:rsidR="00122127" w:rsidRPr="000D03B4">
        <w:rPr>
          <w:sz w:val="24"/>
        </w:rPr>
        <w:t>号）；</w:t>
      </w:r>
    </w:p>
    <w:p w14:paraId="4C509ECE" w14:textId="15380EAE" w:rsidR="00506AE0" w:rsidRPr="000D03B4" w:rsidRDefault="00EE02E2" w:rsidP="00105EDE">
      <w:pPr>
        <w:spacing w:line="276" w:lineRule="auto"/>
        <w:ind w:firstLineChars="200" w:firstLine="480"/>
        <w:jc w:val="left"/>
        <w:rPr>
          <w:sz w:val="24"/>
        </w:rPr>
      </w:pPr>
      <w:r w:rsidRPr="000D03B4">
        <w:rPr>
          <w:sz w:val="24"/>
        </w:rPr>
        <w:t>（</w:t>
      </w:r>
      <w:r w:rsidRPr="000D03B4">
        <w:rPr>
          <w:sz w:val="24"/>
        </w:rPr>
        <w:t>3</w:t>
      </w:r>
      <w:r w:rsidRPr="000D03B4">
        <w:rPr>
          <w:sz w:val="24"/>
        </w:rPr>
        <w:t>）</w:t>
      </w:r>
      <w:r w:rsidR="00122127" w:rsidRPr="000D03B4">
        <w:rPr>
          <w:sz w:val="24"/>
        </w:rPr>
        <w:t>《关于推进预算绩效管理的指导意见》</w:t>
      </w:r>
      <w:r w:rsidR="002F69FA" w:rsidRPr="000D03B4">
        <w:rPr>
          <w:sz w:val="24"/>
        </w:rPr>
        <w:t>（</w:t>
      </w:r>
      <w:r w:rsidR="00122127" w:rsidRPr="000D03B4">
        <w:rPr>
          <w:sz w:val="24"/>
        </w:rPr>
        <w:t>财预〔</w:t>
      </w:r>
      <w:r w:rsidR="00122127" w:rsidRPr="000D03B4">
        <w:rPr>
          <w:sz w:val="24"/>
        </w:rPr>
        <w:t>2011</w:t>
      </w:r>
      <w:r w:rsidR="00122127" w:rsidRPr="000D03B4">
        <w:rPr>
          <w:sz w:val="24"/>
        </w:rPr>
        <w:t>〕</w:t>
      </w:r>
      <w:r w:rsidR="00122127" w:rsidRPr="000D03B4">
        <w:rPr>
          <w:sz w:val="24"/>
        </w:rPr>
        <w:t>416</w:t>
      </w:r>
      <w:r w:rsidR="00122127" w:rsidRPr="000D03B4">
        <w:rPr>
          <w:sz w:val="24"/>
        </w:rPr>
        <w:t>号</w:t>
      </w:r>
      <w:r w:rsidR="002F69FA" w:rsidRPr="000D03B4">
        <w:rPr>
          <w:sz w:val="24"/>
        </w:rPr>
        <w:t>）</w:t>
      </w:r>
      <w:r w:rsidR="00A8203A">
        <w:rPr>
          <w:rFonts w:hint="eastAsia"/>
          <w:sz w:val="24"/>
        </w:rPr>
        <w:t>等</w:t>
      </w:r>
      <w:r w:rsidR="00122127" w:rsidRPr="000D03B4">
        <w:rPr>
          <w:sz w:val="24"/>
        </w:rPr>
        <w:t>。</w:t>
      </w:r>
    </w:p>
    <w:p w14:paraId="2DFB5A39" w14:textId="77777777" w:rsidR="00D4369F" w:rsidRPr="000D03B4" w:rsidRDefault="00D4369F" w:rsidP="009B4991"/>
    <w:p w14:paraId="61109A37" w14:textId="77777777" w:rsidR="00D4369F" w:rsidRPr="000D03B4" w:rsidRDefault="00D4369F" w:rsidP="00A745DB">
      <w:pPr>
        <w:pStyle w:val="2"/>
        <w:snapToGrid w:val="0"/>
        <w:spacing w:before="0" w:after="0" w:line="300" w:lineRule="auto"/>
        <w:ind w:firstLineChars="200" w:firstLine="600"/>
        <w:rPr>
          <w:rFonts w:ascii="Times New Roman" w:hAnsi="Times New Roman"/>
          <w:sz w:val="30"/>
          <w:szCs w:val="30"/>
        </w:rPr>
        <w:sectPr w:rsidR="00D4369F" w:rsidRPr="000D03B4" w:rsidSect="009D1A8B">
          <w:footerReference w:type="default" r:id="rId10"/>
          <w:footerReference w:type="first" r:id="rId11"/>
          <w:pgSz w:w="11906" w:h="16838"/>
          <w:pgMar w:top="1588" w:right="1418" w:bottom="1418" w:left="1701" w:header="851" w:footer="850" w:gutter="0"/>
          <w:cols w:space="425"/>
          <w:titlePg/>
          <w:docGrid w:type="lines" w:linePitch="312"/>
        </w:sectPr>
      </w:pPr>
      <w:bookmarkStart w:id="146" w:name="_Toc3385907"/>
      <w:bookmarkStart w:id="147" w:name="_Toc10395416"/>
    </w:p>
    <w:p w14:paraId="07B72234" w14:textId="22FD4509" w:rsidR="00506AE0" w:rsidRPr="000D03B4" w:rsidRDefault="009F7A3A" w:rsidP="007D239D">
      <w:pPr>
        <w:jc w:val="center"/>
        <w:rPr>
          <w:rFonts w:eastAsia="黑体"/>
          <w:sz w:val="30"/>
          <w:szCs w:val="30"/>
        </w:rPr>
      </w:pPr>
      <w:bookmarkStart w:id="148" w:name="_Toc13148353"/>
      <w:r w:rsidRPr="000D03B4">
        <w:rPr>
          <w:rFonts w:eastAsia="黑体"/>
          <w:sz w:val="30"/>
          <w:szCs w:val="30"/>
        </w:rPr>
        <w:lastRenderedPageBreak/>
        <w:t>第四章</w:t>
      </w:r>
      <w:r w:rsidRPr="000D03B4">
        <w:rPr>
          <w:rFonts w:eastAsia="黑体"/>
          <w:sz w:val="30"/>
          <w:szCs w:val="30"/>
        </w:rPr>
        <w:t xml:space="preserve"> </w:t>
      </w:r>
      <w:r w:rsidR="00B84628" w:rsidRPr="000D03B4">
        <w:rPr>
          <w:rFonts w:eastAsia="黑体"/>
          <w:sz w:val="30"/>
          <w:szCs w:val="30"/>
        </w:rPr>
        <w:t>资产评估</w:t>
      </w:r>
      <w:r w:rsidR="00E71ECE" w:rsidRPr="000D03B4">
        <w:rPr>
          <w:rFonts w:eastAsia="黑体"/>
          <w:sz w:val="30"/>
          <w:szCs w:val="30"/>
        </w:rPr>
        <w:t>行业</w:t>
      </w:r>
      <w:r w:rsidR="00B84628" w:rsidRPr="000D03B4">
        <w:rPr>
          <w:rFonts w:eastAsia="黑体"/>
          <w:sz w:val="30"/>
          <w:szCs w:val="30"/>
        </w:rPr>
        <w:t>业务</w:t>
      </w:r>
      <w:r w:rsidR="00122127" w:rsidRPr="000D03B4">
        <w:rPr>
          <w:rFonts w:eastAsia="黑体"/>
          <w:sz w:val="30"/>
          <w:szCs w:val="30"/>
        </w:rPr>
        <w:t>一览表</w:t>
      </w:r>
      <w:bookmarkEnd w:id="146"/>
      <w:bookmarkEnd w:id="147"/>
      <w:bookmarkEnd w:id="148"/>
    </w:p>
    <w:p w14:paraId="4CD212C9" w14:textId="77777777" w:rsidR="007D239D" w:rsidRPr="000D03B4" w:rsidRDefault="007D239D" w:rsidP="007D239D">
      <w:pPr>
        <w:jc w:val="cente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73"/>
        <w:gridCol w:w="1262"/>
        <w:gridCol w:w="992"/>
        <w:gridCol w:w="3534"/>
        <w:gridCol w:w="6965"/>
        <w:gridCol w:w="42"/>
      </w:tblGrid>
      <w:tr w:rsidR="00B27784" w:rsidRPr="000D03B4" w14:paraId="7D689692" w14:textId="77777777" w:rsidTr="00DE61FF">
        <w:trPr>
          <w:gridAfter w:val="1"/>
          <w:wAfter w:w="16" w:type="pct"/>
          <w:trHeight w:val="283"/>
          <w:tblHeader/>
        </w:trPr>
        <w:tc>
          <w:tcPr>
            <w:tcW w:w="242" w:type="pct"/>
            <w:shd w:val="clear" w:color="auto" w:fill="auto"/>
            <w:noWrap/>
            <w:vAlign w:val="center"/>
            <w:hideMark/>
          </w:tcPr>
          <w:p w14:paraId="2AACA93F" w14:textId="77777777" w:rsidR="00B27784" w:rsidRPr="000D03B4" w:rsidRDefault="00B27784" w:rsidP="00A745DB">
            <w:pPr>
              <w:widowControl/>
              <w:adjustRightInd w:val="0"/>
              <w:snapToGrid w:val="0"/>
              <w:jc w:val="center"/>
              <w:rPr>
                <w:rFonts w:eastAsiaTheme="majorEastAsia"/>
                <w:b/>
                <w:bCs/>
                <w:kern w:val="0"/>
                <w:sz w:val="18"/>
                <w:szCs w:val="18"/>
              </w:rPr>
            </w:pPr>
            <w:r w:rsidRPr="000D03B4">
              <w:rPr>
                <w:rFonts w:eastAsiaTheme="majorEastAsia"/>
                <w:b/>
                <w:bCs/>
                <w:kern w:val="0"/>
                <w:sz w:val="18"/>
                <w:szCs w:val="18"/>
              </w:rPr>
              <w:t>序号</w:t>
            </w:r>
          </w:p>
        </w:tc>
        <w:tc>
          <w:tcPr>
            <w:tcW w:w="653" w:type="pct"/>
            <w:gridSpan w:val="2"/>
            <w:shd w:val="clear" w:color="auto" w:fill="auto"/>
            <w:vAlign w:val="center"/>
            <w:hideMark/>
          </w:tcPr>
          <w:p w14:paraId="4FF58260" w14:textId="3072F5FE" w:rsidR="00B27784" w:rsidRPr="000D03B4" w:rsidRDefault="00B27784" w:rsidP="00A745DB">
            <w:pPr>
              <w:widowControl/>
              <w:adjustRightInd w:val="0"/>
              <w:snapToGrid w:val="0"/>
              <w:jc w:val="center"/>
              <w:rPr>
                <w:rFonts w:eastAsiaTheme="majorEastAsia"/>
                <w:b/>
                <w:bCs/>
                <w:kern w:val="0"/>
                <w:sz w:val="18"/>
                <w:szCs w:val="18"/>
              </w:rPr>
            </w:pPr>
            <w:r w:rsidRPr="000D03B4">
              <w:rPr>
                <w:rFonts w:eastAsiaTheme="majorEastAsia"/>
                <w:b/>
                <w:bCs/>
                <w:kern w:val="0"/>
                <w:sz w:val="18"/>
                <w:szCs w:val="18"/>
              </w:rPr>
              <w:t>需求方</w:t>
            </w:r>
          </w:p>
        </w:tc>
        <w:tc>
          <w:tcPr>
            <w:tcW w:w="1611" w:type="pct"/>
            <w:gridSpan w:val="2"/>
            <w:shd w:val="clear" w:color="auto" w:fill="auto"/>
            <w:vAlign w:val="center"/>
            <w:hideMark/>
          </w:tcPr>
          <w:p w14:paraId="18977764" w14:textId="694E21DD" w:rsidR="00B27784" w:rsidRPr="000D03B4" w:rsidRDefault="00B27784" w:rsidP="00A745DB">
            <w:pPr>
              <w:widowControl/>
              <w:adjustRightInd w:val="0"/>
              <w:snapToGrid w:val="0"/>
              <w:jc w:val="center"/>
              <w:rPr>
                <w:rFonts w:eastAsiaTheme="majorEastAsia"/>
                <w:b/>
                <w:bCs/>
                <w:kern w:val="0"/>
                <w:sz w:val="18"/>
                <w:szCs w:val="18"/>
              </w:rPr>
            </w:pPr>
            <w:r w:rsidRPr="000D03B4">
              <w:rPr>
                <w:rFonts w:eastAsiaTheme="majorEastAsia"/>
                <w:b/>
                <w:bCs/>
                <w:kern w:val="0"/>
                <w:sz w:val="18"/>
                <w:szCs w:val="18"/>
              </w:rPr>
              <w:t>触发资产评估</w:t>
            </w:r>
            <w:r w:rsidR="00E71ECE" w:rsidRPr="000D03B4">
              <w:rPr>
                <w:rFonts w:eastAsiaTheme="majorEastAsia"/>
                <w:b/>
                <w:bCs/>
                <w:kern w:val="0"/>
                <w:sz w:val="18"/>
                <w:szCs w:val="18"/>
              </w:rPr>
              <w:t>行业</w:t>
            </w:r>
            <w:r w:rsidRPr="000D03B4">
              <w:rPr>
                <w:rFonts w:eastAsiaTheme="majorEastAsia"/>
                <w:b/>
                <w:bCs/>
                <w:kern w:val="0"/>
                <w:sz w:val="18"/>
                <w:szCs w:val="18"/>
              </w:rPr>
              <w:t>业务的具体经济行为</w:t>
            </w:r>
          </w:p>
        </w:tc>
        <w:tc>
          <w:tcPr>
            <w:tcW w:w="2478" w:type="pct"/>
            <w:shd w:val="clear" w:color="auto" w:fill="auto"/>
            <w:vAlign w:val="center"/>
            <w:hideMark/>
          </w:tcPr>
          <w:p w14:paraId="05CBFAFE" w14:textId="77777777" w:rsidR="00B27784" w:rsidRPr="000D03B4" w:rsidRDefault="00B27784" w:rsidP="00A745DB">
            <w:pPr>
              <w:widowControl/>
              <w:adjustRightInd w:val="0"/>
              <w:snapToGrid w:val="0"/>
              <w:jc w:val="center"/>
              <w:rPr>
                <w:rFonts w:eastAsiaTheme="majorEastAsia"/>
                <w:b/>
                <w:bCs/>
                <w:kern w:val="0"/>
                <w:sz w:val="18"/>
                <w:szCs w:val="18"/>
              </w:rPr>
            </w:pPr>
            <w:r w:rsidRPr="000D03B4">
              <w:rPr>
                <w:rFonts w:eastAsiaTheme="majorEastAsia"/>
                <w:b/>
                <w:bCs/>
                <w:kern w:val="0"/>
                <w:sz w:val="18"/>
                <w:szCs w:val="18"/>
              </w:rPr>
              <w:t>政策依据</w:t>
            </w:r>
          </w:p>
        </w:tc>
      </w:tr>
      <w:tr w:rsidR="009D1A8B" w:rsidRPr="000D03B4" w14:paraId="0FC07A74" w14:textId="77777777" w:rsidTr="00DE61FF">
        <w:trPr>
          <w:gridAfter w:val="1"/>
          <w:wAfter w:w="16" w:type="pct"/>
          <w:trHeight w:val="283"/>
        </w:trPr>
        <w:tc>
          <w:tcPr>
            <w:tcW w:w="242" w:type="pct"/>
            <w:shd w:val="clear" w:color="auto" w:fill="auto"/>
            <w:noWrap/>
            <w:vAlign w:val="center"/>
            <w:hideMark/>
          </w:tcPr>
          <w:p w14:paraId="30655700" w14:textId="77777777" w:rsidR="009D1A8B" w:rsidRPr="000D03B4" w:rsidRDefault="009D1A8B" w:rsidP="00A745DB">
            <w:pPr>
              <w:widowControl/>
              <w:adjustRightInd w:val="0"/>
              <w:snapToGrid w:val="0"/>
              <w:jc w:val="center"/>
              <w:rPr>
                <w:rFonts w:eastAsiaTheme="majorEastAsia"/>
                <w:b/>
                <w:kern w:val="0"/>
                <w:sz w:val="18"/>
                <w:szCs w:val="18"/>
              </w:rPr>
            </w:pPr>
            <w:proofErr w:type="gramStart"/>
            <w:r w:rsidRPr="000D03B4">
              <w:rPr>
                <w:rFonts w:eastAsiaTheme="majorEastAsia"/>
                <w:b/>
                <w:kern w:val="0"/>
                <w:sz w:val="18"/>
                <w:szCs w:val="18"/>
              </w:rPr>
              <w:t>一</w:t>
            </w:r>
            <w:proofErr w:type="gramEnd"/>
          </w:p>
        </w:tc>
        <w:tc>
          <w:tcPr>
            <w:tcW w:w="4742" w:type="pct"/>
            <w:gridSpan w:val="5"/>
            <w:shd w:val="clear" w:color="auto" w:fill="auto"/>
            <w:noWrap/>
            <w:vAlign w:val="center"/>
            <w:hideMark/>
          </w:tcPr>
          <w:p w14:paraId="3AC76D7F" w14:textId="77777777" w:rsidR="009D1A8B" w:rsidRPr="000D03B4" w:rsidRDefault="009D1A8B" w:rsidP="00A745DB">
            <w:pPr>
              <w:widowControl/>
              <w:adjustRightInd w:val="0"/>
              <w:snapToGrid w:val="0"/>
              <w:rPr>
                <w:rFonts w:eastAsiaTheme="majorEastAsia"/>
                <w:b/>
                <w:kern w:val="0"/>
                <w:sz w:val="18"/>
                <w:szCs w:val="18"/>
              </w:rPr>
            </w:pPr>
            <w:r w:rsidRPr="000D03B4">
              <w:rPr>
                <w:rFonts w:eastAsiaTheme="majorEastAsia"/>
                <w:b/>
                <w:kern w:val="0"/>
                <w:sz w:val="18"/>
                <w:szCs w:val="18"/>
              </w:rPr>
              <w:t>评估类业务</w:t>
            </w:r>
          </w:p>
        </w:tc>
      </w:tr>
      <w:tr w:rsidR="0058270E" w:rsidRPr="000D03B4" w14:paraId="5182B5AE" w14:textId="77777777" w:rsidTr="00DE61FF">
        <w:trPr>
          <w:gridAfter w:val="1"/>
          <w:wAfter w:w="16" w:type="pct"/>
          <w:trHeight w:val="283"/>
        </w:trPr>
        <w:tc>
          <w:tcPr>
            <w:tcW w:w="242" w:type="pct"/>
            <w:shd w:val="clear" w:color="auto" w:fill="auto"/>
            <w:noWrap/>
            <w:vAlign w:val="center"/>
            <w:hideMark/>
          </w:tcPr>
          <w:p w14:paraId="66267B65"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w:t>
            </w:r>
          </w:p>
        </w:tc>
        <w:tc>
          <w:tcPr>
            <w:tcW w:w="204" w:type="pct"/>
            <w:vMerge w:val="restart"/>
            <w:shd w:val="clear" w:color="auto" w:fill="auto"/>
            <w:noWrap/>
            <w:vAlign w:val="center"/>
            <w:hideMark/>
          </w:tcPr>
          <w:p w14:paraId="01FAC111"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w:t>
            </w:r>
          </w:p>
        </w:tc>
        <w:tc>
          <w:tcPr>
            <w:tcW w:w="449" w:type="pct"/>
            <w:vMerge w:val="restart"/>
            <w:shd w:val="clear" w:color="auto" w:fill="auto"/>
            <w:vAlign w:val="center"/>
            <w:hideMark/>
          </w:tcPr>
          <w:p w14:paraId="0BCD674B" w14:textId="5CA5A3C2" w:rsidR="0058270E" w:rsidRPr="000D03B4" w:rsidRDefault="0058270E" w:rsidP="00746F6D">
            <w:pPr>
              <w:widowControl/>
              <w:adjustRightInd w:val="0"/>
              <w:snapToGrid w:val="0"/>
              <w:jc w:val="center"/>
              <w:rPr>
                <w:rFonts w:eastAsiaTheme="majorEastAsia"/>
                <w:kern w:val="0"/>
                <w:sz w:val="18"/>
                <w:szCs w:val="18"/>
              </w:rPr>
            </w:pPr>
            <w:r w:rsidRPr="000D03B4">
              <w:rPr>
                <w:rFonts w:eastAsiaTheme="majorEastAsia"/>
                <w:kern w:val="0"/>
                <w:sz w:val="18"/>
                <w:szCs w:val="18"/>
              </w:rPr>
              <w:t>国资委</w:t>
            </w:r>
            <w:r w:rsidR="00746F6D">
              <w:rPr>
                <w:rFonts w:eastAsiaTheme="majorEastAsia" w:hint="eastAsia"/>
                <w:kern w:val="0"/>
                <w:sz w:val="18"/>
                <w:szCs w:val="18"/>
              </w:rPr>
              <w:t>、</w:t>
            </w:r>
            <w:r w:rsidRPr="000D03B4">
              <w:rPr>
                <w:rFonts w:eastAsiaTheme="majorEastAsia"/>
                <w:kern w:val="0"/>
                <w:sz w:val="18"/>
                <w:szCs w:val="18"/>
              </w:rPr>
              <w:t>财政部及其授权履行国有资产监管的中央企业和中央金融企业</w:t>
            </w:r>
          </w:p>
        </w:tc>
        <w:tc>
          <w:tcPr>
            <w:tcW w:w="353" w:type="pct"/>
            <w:shd w:val="clear" w:color="auto" w:fill="auto"/>
            <w:noWrap/>
            <w:vAlign w:val="center"/>
            <w:hideMark/>
          </w:tcPr>
          <w:p w14:paraId="620071FA"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1.1.1</w:t>
            </w:r>
          </w:p>
        </w:tc>
        <w:tc>
          <w:tcPr>
            <w:tcW w:w="1258" w:type="pct"/>
            <w:shd w:val="clear" w:color="auto" w:fill="auto"/>
            <w:noWrap/>
            <w:vAlign w:val="center"/>
            <w:hideMark/>
          </w:tcPr>
          <w:p w14:paraId="46216A76"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资产转让</w:t>
            </w:r>
          </w:p>
        </w:tc>
        <w:tc>
          <w:tcPr>
            <w:tcW w:w="2478" w:type="pct"/>
            <w:vMerge w:val="restart"/>
            <w:shd w:val="clear" w:color="auto" w:fill="auto"/>
            <w:vAlign w:val="center"/>
            <w:hideMark/>
          </w:tcPr>
          <w:p w14:paraId="0AFE1BF1" w14:textId="02DE91C8" w:rsidR="0058270E" w:rsidRPr="000D03B4" w:rsidRDefault="0058270E" w:rsidP="00264E2B">
            <w:pPr>
              <w:widowControl/>
              <w:adjustRightInd w:val="0"/>
              <w:snapToGrid w:val="0"/>
              <w:jc w:val="left"/>
              <w:rPr>
                <w:rFonts w:eastAsiaTheme="majorEastAsia"/>
                <w:kern w:val="0"/>
                <w:sz w:val="18"/>
                <w:szCs w:val="18"/>
              </w:rPr>
            </w:pPr>
            <w:r w:rsidRPr="000D03B4">
              <w:rPr>
                <w:kern w:val="0"/>
                <w:sz w:val="18"/>
                <w:szCs w:val="18"/>
              </w:rPr>
              <w:t>（</w:t>
            </w:r>
            <w:r w:rsidRPr="000D03B4">
              <w:rPr>
                <w:kern w:val="0"/>
                <w:sz w:val="18"/>
                <w:szCs w:val="18"/>
              </w:rPr>
              <w:t>1</w:t>
            </w:r>
            <w:r w:rsidRPr="000D03B4">
              <w:rPr>
                <w:kern w:val="0"/>
                <w:sz w:val="18"/>
                <w:szCs w:val="18"/>
              </w:rPr>
              <w:t>）</w:t>
            </w:r>
            <w:r w:rsidRPr="000D03B4">
              <w:rPr>
                <w:rFonts w:eastAsiaTheme="majorEastAsia"/>
                <w:kern w:val="0"/>
                <w:sz w:val="18"/>
                <w:szCs w:val="18"/>
              </w:rPr>
              <w:t>《企业国有资产评估管理暂行办法》（国资委令第</w:t>
            </w:r>
            <w:r w:rsidRPr="000D03B4">
              <w:rPr>
                <w:rFonts w:eastAsiaTheme="majorEastAsia"/>
                <w:kern w:val="0"/>
                <w:sz w:val="18"/>
                <w:szCs w:val="18"/>
              </w:rPr>
              <w:t>12</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2</w:t>
            </w:r>
            <w:r w:rsidRPr="000D03B4">
              <w:rPr>
                <w:kern w:val="0"/>
                <w:sz w:val="18"/>
                <w:szCs w:val="18"/>
              </w:rPr>
              <w:t>）</w:t>
            </w:r>
            <w:r w:rsidRPr="000D03B4">
              <w:rPr>
                <w:rFonts w:eastAsiaTheme="majorEastAsia"/>
                <w:kern w:val="0"/>
                <w:sz w:val="18"/>
                <w:szCs w:val="18"/>
              </w:rPr>
              <w:t>《金融企业国有资产评估监督管理暂行办法》（财政部令第</w:t>
            </w:r>
            <w:r w:rsidRPr="000D03B4">
              <w:rPr>
                <w:rFonts w:eastAsiaTheme="majorEastAsia"/>
                <w:kern w:val="0"/>
                <w:sz w:val="18"/>
                <w:szCs w:val="18"/>
              </w:rPr>
              <w:t>47</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3</w:t>
            </w:r>
            <w:r w:rsidRPr="000D03B4">
              <w:rPr>
                <w:kern w:val="0"/>
                <w:sz w:val="18"/>
                <w:szCs w:val="18"/>
              </w:rPr>
              <w:t>）</w:t>
            </w:r>
            <w:r w:rsidRPr="000D03B4">
              <w:rPr>
                <w:rFonts w:eastAsiaTheme="majorEastAsia"/>
                <w:kern w:val="0"/>
                <w:sz w:val="18"/>
                <w:szCs w:val="18"/>
              </w:rPr>
              <w:t>《行政单位国有资产管理暂行办法》（财政部令第</w:t>
            </w:r>
            <w:r w:rsidRPr="000D03B4">
              <w:rPr>
                <w:rFonts w:eastAsiaTheme="majorEastAsia"/>
                <w:kern w:val="0"/>
                <w:sz w:val="18"/>
                <w:szCs w:val="18"/>
              </w:rPr>
              <w:t>35</w:t>
            </w:r>
            <w:r w:rsidRPr="000D03B4">
              <w:rPr>
                <w:rFonts w:eastAsiaTheme="majorEastAsia"/>
                <w:kern w:val="0"/>
                <w:sz w:val="18"/>
                <w:szCs w:val="18"/>
              </w:rPr>
              <w:t>号</w:t>
            </w:r>
            <w:r w:rsidRPr="000D03B4">
              <w:rPr>
                <w:rFonts w:eastAsiaTheme="majorEastAsia"/>
                <w:kern w:val="0"/>
                <w:sz w:val="18"/>
                <w:szCs w:val="18"/>
              </w:rPr>
              <w:t xml:space="preserve"> </w:t>
            </w:r>
            <w:r w:rsidRPr="000D03B4">
              <w:rPr>
                <w:rFonts w:eastAsiaTheme="majorEastAsia"/>
                <w:kern w:val="0"/>
                <w:sz w:val="18"/>
                <w:szCs w:val="18"/>
              </w:rPr>
              <w:t>根据</w:t>
            </w:r>
            <w:r w:rsidRPr="000D03B4">
              <w:rPr>
                <w:rFonts w:eastAsiaTheme="majorEastAsia"/>
                <w:kern w:val="0"/>
                <w:sz w:val="18"/>
                <w:szCs w:val="18"/>
              </w:rPr>
              <w:t>2017</w:t>
            </w:r>
            <w:r w:rsidRPr="000D03B4">
              <w:rPr>
                <w:rFonts w:eastAsiaTheme="majorEastAsia"/>
                <w:kern w:val="0"/>
                <w:sz w:val="18"/>
                <w:szCs w:val="18"/>
              </w:rPr>
              <w:t>年</w:t>
            </w:r>
            <w:r w:rsidRPr="000D03B4">
              <w:rPr>
                <w:rFonts w:eastAsiaTheme="majorEastAsia"/>
                <w:kern w:val="0"/>
                <w:sz w:val="18"/>
                <w:szCs w:val="18"/>
              </w:rPr>
              <w:t>12</w:t>
            </w:r>
            <w:r w:rsidRPr="000D03B4">
              <w:rPr>
                <w:rFonts w:eastAsiaTheme="majorEastAsia"/>
                <w:kern w:val="0"/>
                <w:sz w:val="18"/>
                <w:szCs w:val="18"/>
              </w:rPr>
              <w:t>月</w:t>
            </w:r>
            <w:r w:rsidRPr="000D03B4">
              <w:rPr>
                <w:rFonts w:eastAsiaTheme="majorEastAsia"/>
                <w:kern w:val="0"/>
                <w:sz w:val="18"/>
                <w:szCs w:val="18"/>
              </w:rPr>
              <w:t>4</w:t>
            </w:r>
            <w:r w:rsidRPr="000D03B4">
              <w:rPr>
                <w:rFonts w:eastAsiaTheme="majorEastAsia"/>
                <w:kern w:val="0"/>
                <w:sz w:val="18"/>
                <w:szCs w:val="18"/>
              </w:rPr>
              <w:t>日中华人民共和国财政部令第</w:t>
            </w:r>
            <w:r w:rsidRPr="000D03B4">
              <w:rPr>
                <w:rFonts w:eastAsiaTheme="majorEastAsia"/>
                <w:kern w:val="0"/>
                <w:sz w:val="18"/>
                <w:szCs w:val="18"/>
              </w:rPr>
              <w:t>90</w:t>
            </w:r>
            <w:r w:rsidRPr="000D03B4">
              <w:rPr>
                <w:rFonts w:eastAsiaTheme="majorEastAsia"/>
                <w:kern w:val="0"/>
                <w:sz w:val="18"/>
                <w:szCs w:val="18"/>
              </w:rPr>
              <w:t>号《财政部关于修改〈注册会计师注册办法〉等</w:t>
            </w:r>
            <w:r w:rsidRPr="000D03B4">
              <w:rPr>
                <w:rFonts w:eastAsiaTheme="majorEastAsia"/>
                <w:kern w:val="0"/>
                <w:sz w:val="18"/>
                <w:szCs w:val="18"/>
              </w:rPr>
              <w:t>6</w:t>
            </w:r>
            <w:r w:rsidRPr="000D03B4">
              <w:rPr>
                <w:rFonts w:eastAsiaTheme="majorEastAsia"/>
                <w:kern w:val="0"/>
                <w:sz w:val="18"/>
                <w:szCs w:val="18"/>
              </w:rPr>
              <w:t>部规章的决定》修正）；</w:t>
            </w:r>
            <w:r w:rsidRPr="000D03B4">
              <w:rPr>
                <w:rFonts w:eastAsiaTheme="majorEastAsia"/>
                <w:kern w:val="0"/>
                <w:sz w:val="18"/>
                <w:szCs w:val="18"/>
              </w:rPr>
              <w:br/>
            </w:r>
            <w:r w:rsidRPr="000D03B4">
              <w:rPr>
                <w:kern w:val="0"/>
                <w:sz w:val="18"/>
                <w:szCs w:val="18"/>
              </w:rPr>
              <w:t>（</w:t>
            </w:r>
            <w:r w:rsidRPr="000D03B4">
              <w:rPr>
                <w:kern w:val="0"/>
                <w:sz w:val="18"/>
                <w:szCs w:val="18"/>
              </w:rPr>
              <w:t>4</w:t>
            </w:r>
            <w:r w:rsidRPr="000D03B4">
              <w:rPr>
                <w:kern w:val="0"/>
                <w:sz w:val="18"/>
                <w:szCs w:val="18"/>
              </w:rPr>
              <w:t>）</w:t>
            </w:r>
            <w:r w:rsidRPr="000D03B4">
              <w:rPr>
                <w:rFonts w:eastAsiaTheme="majorEastAsia"/>
                <w:kern w:val="0"/>
                <w:sz w:val="18"/>
                <w:szCs w:val="18"/>
              </w:rPr>
              <w:t>《事业单位国有资产管理暂行办法》（财政部令第</w:t>
            </w:r>
            <w:r w:rsidRPr="000D03B4">
              <w:rPr>
                <w:rFonts w:eastAsiaTheme="majorEastAsia"/>
                <w:kern w:val="0"/>
                <w:sz w:val="18"/>
                <w:szCs w:val="18"/>
              </w:rPr>
              <w:t>36</w:t>
            </w:r>
            <w:r w:rsidRPr="000D03B4">
              <w:rPr>
                <w:rFonts w:eastAsiaTheme="majorEastAsia"/>
                <w:kern w:val="0"/>
                <w:sz w:val="18"/>
                <w:szCs w:val="18"/>
              </w:rPr>
              <w:t>号</w:t>
            </w:r>
            <w:r w:rsidRPr="000D03B4">
              <w:rPr>
                <w:rFonts w:eastAsiaTheme="majorEastAsia"/>
                <w:kern w:val="0"/>
                <w:sz w:val="18"/>
                <w:szCs w:val="18"/>
              </w:rPr>
              <w:t xml:space="preserve"> </w:t>
            </w:r>
            <w:r w:rsidRPr="000D03B4">
              <w:rPr>
                <w:rFonts w:eastAsiaTheme="majorEastAsia"/>
                <w:kern w:val="0"/>
                <w:sz w:val="18"/>
                <w:szCs w:val="18"/>
              </w:rPr>
              <w:t>根据</w:t>
            </w:r>
            <w:r w:rsidRPr="000D03B4">
              <w:rPr>
                <w:rFonts w:eastAsiaTheme="majorEastAsia"/>
                <w:kern w:val="0"/>
                <w:sz w:val="18"/>
                <w:szCs w:val="18"/>
              </w:rPr>
              <w:t>2017</w:t>
            </w:r>
            <w:r w:rsidRPr="000D03B4">
              <w:rPr>
                <w:rFonts w:eastAsiaTheme="majorEastAsia"/>
                <w:kern w:val="0"/>
                <w:sz w:val="18"/>
                <w:szCs w:val="18"/>
              </w:rPr>
              <w:t>年</w:t>
            </w:r>
            <w:r w:rsidRPr="000D03B4">
              <w:rPr>
                <w:rFonts w:eastAsiaTheme="majorEastAsia"/>
                <w:kern w:val="0"/>
                <w:sz w:val="18"/>
                <w:szCs w:val="18"/>
              </w:rPr>
              <w:t>12</w:t>
            </w:r>
            <w:r w:rsidRPr="000D03B4">
              <w:rPr>
                <w:rFonts w:eastAsiaTheme="majorEastAsia"/>
                <w:kern w:val="0"/>
                <w:sz w:val="18"/>
                <w:szCs w:val="18"/>
              </w:rPr>
              <w:t>月</w:t>
            </w:r>
            <w:r w:rsidRPr="000D03B4">
              <w:rPr>
                <w:rFonts w:eastAsiaTheme="majorEastAsia"/>
                <w:kern w:val="0"/>
                <w:sz w:val="18"/>
                <w:szCs w:val="18"/>
              </w:rPr>
              <w:t>4</w:t>
            </w:r>
            <w:r w:rsidRPr="000D03B4">
              <w:rPr>
                <w:rFonts w:eastAsiaTheme="majorEastAsia"/>
                <w:kern w:val="0"/>
                <w:sz w:val="18"/>
                <w:szCs w:val="18"/>
              </w:rPr>
              <w:t>日财政部令第</w:t>
            </w:r>
            <w:r w:rsidRPr="000D03B4">
              <w:rPr>
                <w:rFonts w:eastAsiaTheme="majorEastAsia"/>
                <w:kern w:val="0"/>
                <w:sz w:val="18"/>
                <w:szCs w:val="18"/>
              </w:rPr>
              <w:t>90</w:t>
            </w:r>
            <w:r w:rsidRPr="000D03B4">
              <w:rPr>
                <w:rFonts w:eastAsiaTheme="majorEastAsia"/>
                <w:kern w:val="0"/>
                <w:sz w:val="18"/>
                <w:szCs w:val="18"/>
              </w:rPr>
              <w:t>号《财政部关于修改〈注册会计师注册办法〉等</w:t>
            </w:r>
            <w:r w:rsidRPr="000D03B4">
              <w:rPr>
                <w:rFonts w:eastAsiaTheme="majorEastAsia"/>
                <w:kern w:val="0"/>
                <w:sz w:val="18"/>
                <w:szCs w:val="18"/>
              </w:rPr>
              <w:t>6</w:t>
            </w:r>
            <w:r w:rsidRPr="000D03B4">
              <w:rPr>
                <w:rFonts w:eastAsiaTheme="majorEastAsia"/>
                <w:kern w:val="0"/>
                <w:sz w:val="18"/>
                <w:szCs w:val="18"/>
              </w:rPr>
              <w:t>部规章的决定》第一次修改</w:t>
            </w:r>
            <w:r w:rsidRPr="000D03B4">
              <w:rPr>
                <w:rFonts w:eastAsiaTheme="majorEastAsia"/>
                <w:kern w:val="0"/>
                <w:sz w:val="18"/>
                <w:szCs w:val="18"/>
              </w:rPr>
              <w:t xml:space="preserve"> </w:t>
            </w:r>
            <w:r w:rsidRPr="000D03B4">
              <w:rPr>
                <w:rFonts w:eastAsiaTheme="majorEastAsia"/>
                <w:kern w:val="0"/>
                <w:sz w:val="18"/>
                <w:szCs w:val="18"/>
              </w:rPr>
              <w:t>根据</w:t>
            </w:r>
            <w:r w:rsidRPr="000D03B4">
              <w:rPr>
                <w:rFonts w:eastAsiaTheme="majorEastAsia"/>
                <w:kern w:val="0"/>
                <w:sz w:val="18"/>
                <w:szCs w:val="18"/>
              </w:rPr>
              <w:t>2019</w:t>
            </w:r>
            <w:r w:rsidRPr="000D03B4">
              <w:rPr>
                <w:rFonts w:eastAsiaTheme="majorEastAsia"/>
                <w:kern w:val="0"/>
                <w:sz w:val="18"/>
                <w:szCs w:val="18"/>
              </w:rPr>
              <w:t>年</w:t>
            </w:r>
            <w:r w:rsidRPr="000D03B4">
              <w:rPr>
                <w:rFonts w:eastAsiaTheme="majorEastAsia"/>
                <w:kern w:val="0"/>
                <w:sz w:val="18"/>
                <w:szCs w:val="18"/>
              </w:rPr>
              <w:t>3</w:t>
            </w:r>
            <w:r w:rsidRPr="000D03B4">
              <w:rPr>
                <w:rFonts w:eastAsiaTheme="majorEastAsia"/>
                <w:kern w:val="0"/>
                <w:sz w:val="18"/>
                <w:szCs w:val="18"/>
              </w:rPr>
              <w:t>月</w:t>
            </w:r>
            <w:r w:rsidRPr="000D03B4">
              <w:rPr>
                <w:rFonts w:eastAsiaTheme="majorEastAsia"/>
                <w:kern w:val="0"/>
                <w:sz w:val="18"/>
                <w:szCs w:val="18"/>
              </w:rPr>
              <w:t>29</w:t>
            </w:r>
            <w:r w:rsidRPr="000D03B4">
              <w:rPr>
                <w:rFonts w:eastAsiaTheme="majorEastAsia"/>
                <w:kern w:val="0"/>
                <w:sz w:val="18"/>
                <w:szCs w:val="18"/>
              </w:rPr>
              <w:t>日《财政部关于修改</w:t>
            </w:r>
            <w:r w:rsidRPr="000D03B4">
              <w:rPr>
                <w:rFonts w:eastAsiaTheme="majorEastAsia"/>
                <w:kern w:val="0"/>
                <w:sz w:val="18"/>
                <w:szCs w:val="18"/>
              </w:rPr>
              <w:t>&lt;</w:t>
            </w:r>
            <w:r w:rsidRPr="000D03B4">
              <w:rPr>
                <w:rFonts w:eastAsiaTheme="majorEastAsia"/>
                <w:kern w:val="0"/>
                <w:sz w:val="18"/>
                <w:szCs w:val="18"/>
              </w:rPr>
              <w:t>事业单位国有资产管理暂行办法</w:t>
            </w:r>
            <w:r w:rsidRPr="000D03B4">
              <w:rPr>
                <w:rFonts w:eastAsiaTheme="majorEastAsia"/>
                <w:kern w:val="0"/>
                <w:sz w:val="18"/>
                <w:szCs w:val="18"/>
              </w:rPr>
              <w:t>&gt;</w:t>
            </w:r>
            <w:r w:rsidRPr="000D03B4">
              <w:rPr>
                <w:rFonts w:eastAsiaTheme="majorEastAsia"/>
                <w:kern w:val="0"/>
                <w:sz w:val="18"/>
                <w:szCs w:val="18"/>
              </w:rPr>
              <w:t>的决定》第二次修改）；</w:t>
            </w:r>
            <w:r w:rsidRPr="000D03B4">
              <w:rPr>
                <w:rFonts w:eastAsiaTheme="majorEastAsia"/>
                <w:kern w:val="0"/>
                <w:sz w:val="18"/>
                <w:szCs w:val="18"/>
              </w:rPr>
              <w:br/>
            </w:r>
            <w:r w:rsidRPr="000D03B4">
              <w:rPr>
                <w:kern w:val="0"/>
                <w:sz w:val="18"/>
                <w:szCs w:val="18"/>
              </w:rPr>
              <w:t>（</w:t>
            </w:r>
            <w:r w:rsidRPr="000D03B4">
              <w:rPr>
                <w:kern w:val="0"/>
                <w:sz w:val="18"/>
                <w:szCs w:val="18"/>
              </w:rPr>
              <w:t>5</w:t>
            </w:r>
            <w:r w:rsidRPr="000D03B4">
              <w:rPr>
                <w:kern w:val="0"/>
                <w:sz w:val="18"/>
                <w:szCs w:val="18"/>
              </w:rPr>
              <w:t>）</w:t>
            </w:r>
            <w:r w:rsidRPr="000D03B4">
              <w:rPr>
                <w:rFonts w:eastAsiaTheme="majorEastAsia"/>
                <w:kern w:val="0"/>
                <w:sz w:val="18"/>
                <w:szCs w:val="18"/>
              </w:rPr>
              <w:t>《中央级事业单位国有资产管理暂行办法》（</w:t>
            </w:r>
            <w:proofErr w:type="gramStart"/>
            <w:r w:rsidRPr="000D03B4">
              <w:rPr>
                <w:rFonts w:eastAsiaTheme="majorEastAsia"/>
                <w:kern w:val="0"/>
                <w:sz w:val="18"/>
                <w:szCs w:val="18"/>
              </w:rPr>
              <w:t>财教〔</w:t>
            </w:r>
            <w:r w:rsidRPr="000D03B4">
              <w:rPr>
                <w:rFonts w:eastAsiaTheme="majorEastAsia"/>
                <w:kern w:val="0"/>
                <w:sz w:val="18"/>
                <w:szCs w:val="18"/>
              </w:rPr>
              <w:t>2008</w:t>
            </w:r>
            <w:r w:rsidRPr="000D03B4">
              <w:rPr>
                <w:rFonts w:eastAsiaTheme="majorEastAsia"/>
                <w:kern w:val="0"/>
                <w:sz w:val="18"/>
                <w:szCs w:val="18"/>
              </w:rPr>
              <w:t>〕</w:t>
            </w:r>
            <w:proofErr w:type="gramEnd"/>
            <w:r w:rsidRPr="000D03B4">
              <w:rPr>
                <w:rFonts w:eastAsiaTheme="majorEastAsia"/>
                <w:kern w:val="0"/>
                <w:sz w:val="18"/>
                <w:szCs w:val="18"/>
              </w:rPr>
              <w:t>13</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6</w:t>
            </w:r>
            <w:r w:rsidRPr="000D03B4">
              <w:rPr>
                <w:kern w:val="0"/>
                <w:sz w:val="18"/>
                <w:szCs w:val="18"/>
              </w:rPr>
              <w:t>）</w:t>
            </w:r>
            <w:r w:rsidRPr="000D03B4">
              <w:rPr>
                <w:rFonts w:eastAsiaTheme="majorEastAsia"/>
                <w:kern w:val="0"/>
                <w:sz w:val="18"/>
                <w:szCs w:val="18"/>
              </w:rPr>
              <w:t>《中央级事业单位国有资产使用管理暂行办法》（</w:t>
            </w:r>
            <w:proofErr w:type="gramStart"/>
            <w:r w:rsidRPr="000D03B4">
              <w:rPr>
                <w:rFonts w:eastAsiaTheme="majorEastAsia"/>
                <w:kern w:val="0"/>
                <w:sz w:val="18"/>
                <w:szCs w:val="18"/>
              </w:rPr>
              <w:t>财教〔</w:t>
            </w:r>
            <w:r w:rsidRPr="000D03B4">
              <w:rPr>
                <w:rFonts w:eastAsiaTheme="majorEastAsia"/>
                <w:kern w:val="0"/>
                <w:sz w:val="18"/>
                <w:szCs w:val="18"/>
              </w:rPr>
              <w:t>2009</w:t>
            </w:r>
            <w:r w:rsidRPr="000D03B4">
              <w:rPr>
                <w:rFonts w:eastAsiaTheme="majorEastAsia"/>
                <w:kern w:val="0"/>
                <w:sz w:val="18"/>
                <w:szCs w:val="18"/>
              </w:rPr>
              <w:t>〕</w:t>
            </w:r>
            <w:proofErr w:type="gramEnd"/>
            <w:r w:rsidRPr="000D03B4">
              <w:rPr>
                <w:rFonts w:eastAsiaTheme="majorEastAsia"/>
                <w:kern w:val="0"/>
                <w:sz w:val="18"/>
                <w:szCs w:val="18"/>
              </w:rPr>
              <w:t>192</w:t>
            </w:r>
            <w:r w:rsidRPr="000D03B4">
              <w:rPr>
                <w:rFonts w:eastAsiaTheme="majorEastAsia"/>
                <w:kern w:val="0"/>
                <w:sz w:val="18"/>
                <w:szCs w:val="18"/>
              </w:rPr>
              <w:t>号）；</w:t>
            </w:r>
            <w:r w:rsidRPr="000D03B4">
              <w:rPr>
                <w:rFonts w:eastAsiaTheme="majorEastAsia"/>
                <w:kern w:val="0"/>
                <w:sz w:val="18"/>
                <w:szCs w:val="18"/>
              </w:rPr>
              <w:t xml:space="preserve">                                                                                                   </w:t>
            </w:r>
            <w:r w:rsidRPr="000D03B4">
              <w:rPr>
                <w:kern w:val="0"/>
                <w:sz w:val="18"/>
                <w:szCs w:val="18"/>
              </w:rPr>
              <w:t>（</w:t>
            </w:r>
            <w:r w:rsidRPr="000D03B4">
              <w:rPr>
                <w:kern w:val="0"/>
                <w:sz w:val="18"/>
                <w:szCs w:val="18"/>
              </w:rPr>
              <w:t>7</w:t>
            </w:r>
            <w:r w:rsidRPr="000D03B4">
              <w:rPr>
                <w:kern w:val="0"/>
                <w:sz w:val="18"/>
                <w:szCs w:val="18"/>
              </w:rPr>
              <w:t>）</w:t>
            </w:r>
            <w:r w:rsidRPr="000D03B4">
              <w:rPr>
                <w:rFonts w:eastAsiaTheme="majorEastAsia"/>
                <w:kern w:val="0"/>
                <w:sz w:val="18"/>
                <w:szCs w:val="18"/>
              </w:rPr>
              <w:t>《企业国有资产交易监督管理办法》（国务院国资委</w:t>
            </w:r>
            <w:r w:rsidRPr="000D03B4">
              <w:rPr>
                <w:rFonts w:eastAsiaTheme="majorEastAsia"/>
                <w:kern w:val="0"/>
                <w:sz w:val="18"/>
                <w:szCs w:val="18"/>
              </w:rPr>
              <w:t xml:space="preserve"> </w:t>
            </w:r>
            <w:r w:rsidRPr="000D03B4">
              <w:rPr>
                <w:rFonts w:eastAsiaTheme="majorEastAsia"/>
                <w:kern w:val="0"/>
                <w:sz w:val="18"/>
                <w:szCs w:val="18"/>
              </w:rPr>
              <w:t>财政部令第</w:t>
            </w:r>
            <w:r w:rsidRPr="000D03B4">
              <w:rPr>
                <w:rFonts w:eastAsiaTheme="majorEastAsia"/>
                <w:kern w:val="0"/>
                <w:sz w:val="18"/>
                <w:szCs w:val="18"/>
              </w:rPr>
              <w:t>32</w:t>
            </w:r>
            <w:r w:rsidRPr="000D03B4">
              <w:rPr>
                <w:rFonts w:eastAsiaTheme="majorEastAsia"/>
                <w:kern w:val="0"/>
                <w:sz w:val="18"/>
                <w:szCs w:val="18"/>
              </w:rPr>
              <w:t>号）。</w:t>
            </w:r>
          </w:p>
        </w:tc>
      </w:tr>
      <w:tr w:rsidR="0058270E" w:rsidRPr="000D03B4" w14:paraId="6485BC79" w14:textId="77777777" w:rsidTr="00DE61FF">
        <w:trPr>
          <w:gridAfter w:val="1"/>
          <w:wAfter w:w="16" w:type="pct"/>
          <w:trHeight w:val="283"/>
        </w:trPr>
        <w:tc>
          <w:tcPr>
            <w:tcW w:w="242" w:type="pct"/>
            <w:shd w:val="clear" w:color="auto" w:fill="auto"/>
            <w:noWrap/>
            <w:vAlign w:val="center"/>
            <w:hideMark/>
          </w:tcPr>
          <w:p w14:paraId="1E80B8D8"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w:t>
            </w:r>
          </w:p>
        </w:tc>
        <w:tc>
          <w:tcPr>
            <w:tcW w:w="204" w:type="pct"/>
            <w:vMerge/>
            <w:shd w:val="clear" w:color="auto" w:fill="auto"/>
            <w:vAlign w:val="center"/>
            <w:hideMark/>
          </w:tcPr>
          <w:p w14:paraId="6DAB5E55"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624EE70D"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802C773"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1.1.2</w:t>
            </w:r>
          </w:p>
        </w:tc>
        <w:tc>
          <w:tcPr>
            <w:tcW w:w="1258" w:type="pct"/>
            <w:shd w:val="clear" w:color="auto" w:fill="auto"/>
            <w:noWrap/>
            <w:vAlign w:val="center"/>
            <w:hideMark/>
          </w:tcPr>
          <w:p w14:paraId="6DAA4591"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资产拍卖</w:t>
            </w:r>
          </w:p>
        </w:tc>
        <w:tc>
          <w:tcPr>
            <w:tcW w:w="2478" w:type="pct"/>
            <w:vMerge/>
            <w:shd w:val="clear" w:color="auto" w:fill="auto"/>
            <w:vAlign w:val="center"/>
            <w:hideMark/>
          </w:tcPr>
          <w:p w14:paraId="383BADC2"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01066280" w14:textId="77777777" w:rsidTr="00DE61FF">
        <w:trPr>
          <w:gridAfter w:val="1"/>
          <w:wAfter w:w="16" w:type="pct"/>
          <w:trHeight w:val="283"/>
        </w:trPr>
        <w:tc>
          <w:tcPr>
            <w:tcW w:w="242" w:type="pct"/>
            <w:shd w:val="clear" w:color="auto" w:fill="auto"/>
            <w:noWrap/>
            <w:vAlign w:val="center"/>
            <w:hideMark/>
          </w:tcPr>
          <w:p w14:paraId="799C555B"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w:t>
            </w:r>
          </w:p>
        </w:tc>
        <w:tc>
          <w:tcPr>
            <w:tcW w:w="204" w:type="pct"/>
            <w:vMerge/>
            <w:shd w:val="clear" w:color="auto" w:fill="auto"/>
            <w:vAlign w:val="center"/>
            <w:hideMark/>
          </w:tcPr>
          <w:p w14:paraId="37876655"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606D973B"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74F8FCB"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1.1.3</w:t>
            </w:r>
          </w:p>
        </w:tc>
        <w:tc>
          <w:tcPr>
            <w:tcW w:w="1258" w:type="pct"/>
            <w:shd w:val="clear" w:color="auto" w:fill="auto"/>
            <w:noWrap/>
            <w:vAlign w:val="center"/>
            <w:hideMark/>
          </w:tcPr>
          <w:p w14:paraId="724C4505"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资产偿债</w:t>
            </w:r>
          </w:p>
        </w:tc>
        <w:tc>
          <w:tcPr>
            <w:tcW w:w="2478" w:type="pct"/>
            <w:vMerge/>
            <w:shd w:val="clear" w:color="auto" w:fill="auto"/>
            <w:vAlign w:val="center"/>
            <w:hideMark/>
          </w:tcPr>
          <w:p w14:paraId="7300CEB1"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2E8C85E5" w14:textId="77777777" w:rsidTr="00DE61FF">
        <w:trPr>
          <w:gridAfter w:val="1"/>
          <w:wAfter w:w="16" w:type="pct"/>
          <w:trHeight w:val="283"/>
        </w:trPr>
        <w:tc>
          <w:tcPr>
            <w:tcW w:w="242" w:type="pct"/>
            <w:shd w:val="clear" w:color="auto" w:fill="auto"/>
            <w:noWrap/>
            <w:vAlign w:val="center"/>
            <w:hideMark/>
          </w:tcPr>
          <w:p w14:paraId="6CFD8843"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4</w:t>
            </w:r>
          </w:p>
        </w:tc>
        <w:tc>
          <w:tcPr>
            <w:tcW w:w="204" w:type="pct"/>
            <w:vMerge/>
            <w:shd w:val="clear" w:color="auto" w:fill="auto"/>
            <w:vAlign w:val="center"/>
            <w:hideMark/>
          </w:tcPr>
          <w:p w14:paraId="140457C6"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05A804D3"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9CDC77B"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1.1.4</w:t>
            </w:r>
          </w:p>
        </w:tc>
        <w:tc>
          <w:tcPr>
            <w:tcW w:w="1258" w:type="pct"/>
            <w:shd w:val="clear" w:color="auto" w:fill="auto"/>
            <w:noWrap/>
            <w:vAlign w:val="center"/>
            <w:hideMark/>
          </w:tcPr>
          <w:p w14:paraId="066A6F56"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资产租赁</w:t>
            </w:r>
          </w:p>
        </w:tc>
        <w:tc>
          <w:tcPr>
            <w:tcW w:w="2478" w:type="pct"/>
            <w:vMerge/>
            <w:shd w:val="clear" w:color="auto" w:fill="auto"/>
            <w:vAlign w:val="center"/>
            <w:hideMark/>
          </w:tcPr>
          <w:p w14:paraId="3C3DEBD1"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0CACFFDC" w14:textId="77777777" w:rsidTr="00DE61FF">
        <w:trPr>
          <w:gridAfter w:val="1"/>
          <w:wAfter w:w="16" w:type="pct"/>
          <w:trHeight w:val="283"/>
        </w:trPr>
        <w:tc>
          <w:tcPr>
            <w:tcW w:w="242" w:type="pct"/>
            <w:shd w:val="clear" w:color="auto" w:fill="auto"/>
            <w:noWrap/>
            <w:vAlign w:val="center"/>
            <w:hideMark/>
          </w:tcPr>
          <w:p w14:paraId="5FF97B48"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5</w:t>
            </w:r>
          </w:p>
        </w:tc>
        <w:tc>
          <w:tcPr>
            <w:tcW w:w="204" w:type="pct"/>
            <w:vMerge/>
            <w:shd w:val="clear" w:color="auto" w:fill="auto"/>
            <w:vAlign w:val="center"/>
            <w:hideMark/>
          </w:tcPr>
          <w:p w14:paraId="4480B440"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188FC5BC"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EA16B00"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1.1.5</w:t>
            </w:r>
          </w:p>
        </w:tc>
        <w:tc>
          <w:tcPr>
            <w:tcW w:w="1258" w:type="pct"/>
            <w:shd w:val="clear" w:color="auto" w:fill="auto"/>
            <w:noWrap/>
            <w:vAlign w:val="center"/>
            <w:hideMark/>
          </w:tcPr>
          <w:p w14:paraId="7192D78F"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资产抵押</w:t>
            </w:r>
          </w:p>
        </w:tc>
        <w:tc>
          <w:tcPr>
            <w:tcW w:w="2478" w:type="pct"/>
            <w:vMerge/>
            <w:shd w:val="clear" w:color="auto" w:fill="auto"/>
            <w:vAlign w:val="center"/>
            <w:hideMark/>
          </w:tcPr>
          <w:p w14:paraId="29646CC1"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61BC76A1" w14:textId="77777777" w:rsidTr="00DE61FF">
        <w:trPr>
          <w:gridAfter w:val="1"/>
          <w:wAfter w:w="16" w:type="pct"/>
          <w:trHeight w:val="283"/>
        </w:trPr>
        <w:tc>
          <w:tcPr>
            <w:tcW w:w="242" w:type="pct"/>
            <w:shd w:val="clear" w:color="auto" w:fill="auto"/>
            <w:noWrap/>
            <w:vAlign w:val="center"/>
            <w:hideMark/>
          </w:tcPr>
          <w:p w14:paraId="63E042EF"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6</w:t>
            </w:r>
          </w:p>
        </w:tc>
        <w:tc>
          <w:tcPr>
            <w:tcW w:w="204" w:type="pct"/>
            <w:vMerge/>
            <w:shd w:val="clear" w:color="auto" w:fill="auto"/>
            <w:vAlign w:val="center"/>
            <w:hideMark/>
          </w:tcPr>
          <w:p w14:paraId="6ED81FB0"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4448491"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39EA298"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1.1.6</w:t>
            </w:r>
          </w:p>
        </w:tc>
        <w:tc>
          <w:tcPr>
            <w:tcW w:w="1258" w:type="pct"/>
            <w:shd w:val="clear" w:color="auto" w:fill="auto"/>
            <w:noWrap/>
            <w:vAlign w:val="center"/>
            <w:hideMark/>
          </w:tcPr>
          <w:p w14:paraId="77D054B1"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资产质押</w:t>
            </w:r>
          </w:p>
        </w:tc>
        <w:tc>
          <w:tcPr>
            <w:tcW w:w="2478" w:type="pct"/>
            <w:vMerge/>
            <w:shd w:val="clear" w:color="auto" w:fill="auto"/>
            <w:vAlign w:val="center"/>
            <w:hideMark/>
          </w:tcPr>
          <w:p w14:paraId="0E4E0257"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492AFDD8" w14:textId="77777777" w:rsidTr="00DE61FF">
        <w:trPr>
          <w:gridAfter w:val="1"/>
          <w:wAfter w:w="16" w:type="pct"/>
          <w:trHeight w:val="283"/>
        </w:trPr>
        <w:tc>
          <w:tcPr>
            <w:tcW w:w="242" w:type="pct"/>
            <w:shd w:val="clear" w:color="auto" w:fill="auto"/>
            <w:noWrap/>
            <w:vAlign w:val="center"/>
            <w:hideMark/>
          </w:tcPr>
          <w:p w14:paraId="161FF314"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7</w:t>
            </w:r>
          </w:p>
        </w:tc>
        <w:tc>
          <w:tcPr>
            <w:tcW w:w="204" w:type="pct"/>
            <w:vMerge/>
            <w:shd w:val="clear" w:color="auto" w:fill="auto"/>
            <w:vAlign w:val="center"/>
            <w:hideMark/>
          </w:tcPr>
          <w:p w14:paraId="0A6915CC"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C75EDA0"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32A0E02"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1.1.7</w:t>
            </w:r>
          </w:p>
        </w:tc>
        <w:tc>
          <w:tcPr>
            <w:tcW w:w="1258" w:type="pct"/>
            <w:shd w:val="clear" w:color="auto" w:fill="auto"/>
            <w:noWrap/>
            <w:vAlign w:val="center"/>
            <w:hideMark/>
          </w:tcPr>
          <w:p w14:paraId="0F68385F"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资产重组</w:t>
            </w:r>
          </w:p>
        </w:tc>
        <w:tc>
          <w:tcPr>
            <w:tcW w:w="2478" w:type="pct"/>
            <w:vMerge/>
            <w:shd w:val="clear" w:color="auto" w:fill="auto"/>
            <w:vAlign w:val="center"/>
            <w:hideMark/>
          </w:tcPr>
          <w:p w14:paraId="2C475F97"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29BE4CF8" w14:textId="77777777" w:rsidTr="00DE61FF">
        <w:trPr>
          <w:gridAfter w:val="1"/>
          <w:wAfter w:w="16" w:type="pct"/>
          <w:trHeight w:val="283"/>
        </w:trPr>
        <w:tc>
          <w:tcPr>
            <w:tcW w:w="242" w:type="pct"/>
            <w:shd w:val="clear" w:color="auto" w:fill="auto"/>
            <w:noWrap/>
            <w:vAlign w:val="center"/>
            <w:hideMark/>
          </w:tcPr>
          <w:p w14:paraId="11592715"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8</w:t>
            </w:r>
          </w:p>
        </w:tc>
        <w:tc>
          <w:tcPr>
            <w:tcW w:w="204" w:type="pct"/>
            <w:vMerge/>
            <w:shd w:val="clear" w:color="auto" w:fill="auto"/>
            <w:vAlign w:val="center"/>
            <w:hideMark/>
          </w:tcPr>
          <w:p w14:paraId="5285E07B"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501B9C1"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E40109B"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1.1.8</w:t>
            </w:r>
          </w:p>
        </w:tc>
        <w:tc>
          <w:tcPr>
            <w:tcW w:w="1258" w:type="pct"/>
            <w:shd w:val="clear" w:color="auto" w:fill="auto"/>
            <w:noWrap/>
            <w:vAlign w:val="center"/>
            <w:hideMark/>
          </w:tcPr>
          <w:p w14:paraId="5AC9EEF0"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资产捐赠</w:t>
            </w:r>
          </w:p>
        </w:tc>
        <w:tc>
          <w:tcPr>
            <w:tcW w:w="2478" w:type="pct"/>
            <w:vMerge/>
            <w:shd w:val="clear" w:color="auto" w:fill="auto"/>
            <w:vAlign w:val="center"/>
            <w:hideMark/>
          </w:tcPr>
          <w:p w14:paraId="0FE044DB"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6A76E140" w14:textId="77777777" w:rsidTr="00DE61FF">
        <w:trPr>
          <w:gridAfter w:val="1"/>
          <w:wAfter w:w="16" w:type="pct"/>
          <w:trHeight w:val="283"/>
        </w:trPr>
        <w:tc>
          <w:tcPr>
            <w:tcW w:w="242" w:type="pct"/>
            <w:shd w:val="clear" w:color="auto" w:fill="auto"/>
            <w:noWrap/>
            <w:vAlign w:val="center"/>
            <w:hideMark/>
          </w:tcPr>
          <w:p w14:paraId="049B7D8B"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9</w:t>
            </w:r>
          </w:p>
        </w:tc>
        <w:tc>
          <w:tcPr>
            <w:tcW w:w="204" w:type="pct"/>
            <w:vMerge/>
            <w:shd w:val="clear" w:color="auto" w:fill="auto"/>
            <w:vAlign w:val="center"/>
            <w:hideMark/>
          </w:tcPr>
          <w:p w14:paraId="1F29B6B7"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1E534633"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7BB8E372"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1.1.9</w:t>
            </w:r>
          </w:p>
        </w:tc>
        <w:tc>
          <w:tcPr>
            <w:tcW w:w="1258" w:type="pct"/>
            <w:shd w:val="clear" w:color="auto" w:fill="auto"/>
            <w:noWrap/>
            <w:vAlign w:val="center"/>
            <w:hideMark/>
          </w:tcPr>
          <w:p w14:paraId="7EFA9335"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资产补偿</w:t>
            </w:r>
          </w:p>
        </w:tc>
        <w:tc>
          <w:tcPr>
            <w:tcW w:w="2478" w:type="pct"/>
            <w:vMerge/>
            <w:shd w:val="clear" w:color="auto" w:fill="auto"/>
            <w:vAlign w:val="center"/>
            <w:hideMark/>
          </w:tcPr>
          <w:p w14:paraId="6DEE4FC3"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359FE961" w14:textId="77777777" w:rsidTr="00DE61FF">
        <w:trPr>
          <w:gridAfter w:val="1"/>
          <w:wAfter w:w="16" w:type="pct"/>
          <w:trHeight w:val="283"/>
        </w:trPr>
        <w:tc>
          <w:tcPr>
            <w:tcW w:w="242" w:type="pct"/>
            <w:shd w:val="clear" w:color="auto" w:fill="auto"/>
            <w:noWrap/>
            <w:vAlign w:val="center"/>
            <w:hideMark/>
          </w:tcPr>
          <w:p w14:paraId="6DAC465D"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10</w:t>
            </w:r>
          </w:p>
        </w:tc>
        <w:tc>
          <w:tcPr>
            <w:tcW w:w="204" w:type="pct"/>
            <w:vMerge/>
            <w:shd w:val="clear" w:color="auto" w:fill="auto"/>
            <w:vAlign w:val="center"/>
            <w:hideMark/>
          </w:tcPr>
          <w:p w14:paraId="7752BC81"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C169BBF"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4A61C408"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1.1.10</w:t>
            </w:r>
          </w:p>
        </w:tc>
        <w:tc>
          <w:tcPr>
            <w:tcW w:w="1258" w:type="pct"/>
            <w:shd w:val="clear" w:color="auto" w:fill="auto"/>
            <w:noWrap/>
            <w:vAlign w:val="center"/>
            <w:hideMark/>
          </w:tcPr>
          <w:p w14:paraId="23AA31FD"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资产涉讼</w:t>
            </w:r>
          </w:p>
        </w:tc>
        <w:tc>
          <w:tcPr>
            <w:tcW w:w="2478" w:type="pct"/>
            <w:vMerge/>
            <w:shd w:val="clear" w:color="auto" w:fill="auto"/>
            <w:vAlign w:val="center"/>
            <w:hideMark/>
          </w:tcPr>
          <w:p w14:paraId="534C6A89"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68D1A7F7" w14:textId="77777777" w:rsidTr="00DE61FF">
        <w:trPr>
          <w:gridAfter w:val="1"/>
          <w:wAfter w:w="16" w:type="pct"/>
          <w:trHeight w:val="283"/>
        </w:trPr>
        <w:tc>
          <w:tcPr>
            <w:tcW w:w="242" w:type="pct"/>
            <w:shd w:val="clear" w:color="auto" w:fill="auto"/>
            <w:noWrap/>
            <w:vAlign w:val="center"/>
            <w:hideMark/>
          </w:tcPr>
          <w:p w14:paraId="52C8FF63"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w:t>
            </w:r>
          </w:p>
        </w:tc>
        <w:tc>
          <w:tcPr>
            <w:tcW w:w="204" w:type="pct"/>
            <w:vMerge/>
            <w:shd w:val="clear" w:color="auto" w:fill="auto"/>
            <w:vAlign w:val="center"/>
            <w:hideMark/>
          </w:tcPr>
          <w:p w14:paraId="33A6AD43"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1C51AC79"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4525C3A"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1.1.11</w:t>
            </w:r>
          </w:p>
        </w:tc>
        <w:tc>
          <w:tcPr>
            <w:tcW w:w="1258" w:type="pct"/>
            <w:shd w:val="clear" w:color="auto" w:fill="auto"/>
            <w:noWrap/>
            <w:vAlign w:val="center"/>
            <w:hideMark/>
          </w:tcPr>
          <w:p w14:paraId="66A8CE5F"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对外投资</w:t>
            </w:r>
          </w:p>
        </w:tc>
        <w:tc>
          <w:tcPr>
            <w:tcW w:w="2478" w:type="pct"/>
            <w:vMerge/>
            <w:shd w:val="clear" w:color="auto" w:fill="auto"/>
            <w:vAlign w:val="center"/>
            <w:hideMark/>
          </w:tcPr>
          <w:p w14:paraId="75020047"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2C24A315" w14:textId="77777777" w:rsidTr="00DE61FF">
        <w:trPr>
          <w:gridAfter w:val="1"/>
          <w:wAfter w:w="16" w:type="pct"/>
          <w:trHeight w:val="283"/>
        </w:trPr>
        <w:tc>
          <w:tcPr>
            <w:tcW w:w="242" w:type="pct"/>
            <w:shd w:val="clear" w:color="auto" w:fill="auto"/>
            <w:noWrap/>
            <w:vAlign w:val="center"/>
            <w:hideMark/>
          </w:tcPr>
          <w:p w14:paraId="4E259874"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w:t>
            </w:r>
          </w:p>
        </w:tc>
        <w:tc>
          <w:tcPr>
            <w:tcW w:w="204" w:type="pct"/>
            <w:vMerge/>
            <w:shd w:val="clear" w:color="auto" w:fill="auto"/>
            <w:vAlign w:val="center"/>
            <w:hideMark/>
          </w:tcPr>
          <w:p w14:paraId="785E4253"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53236170"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F5DE620"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1.1.12</w:t>
            </w:r>
          </w:p>
        </w:tc>
        <w:tc>
          <w:tcPr>
            <w:tcW w:w="1258" w:type="pct"/>
            <w:shd w:val="clear" w:color="auto" w:fill="auto"/>
            <w:noWrap/>
            <w:vAlign w:val="center"/>
            <w:hideMark/>
          </w:tcPr>
          <w:p w14:paraId="20520456"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接受投资</w:t>
            </w:r>
          </w:p>
        </w:tc>
        <w:tc>
          <w:tcPr>
            <w:tcW w:w="2478" w:type="pct"/>
            <w:vMerge/>
            <w:shd w:val="clear" w:color="auto" w:fill="auto"/>
            <w:vAlign w:val="center"/>
            <w:hideMark/>
          </w:tcPr>
          <w:p w14:paraId="057D1F41"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73B2AAC7" w14:textId="77777777" w:rsidTr="00DE61FF">
        <w:trPr>
          <w:gridAfter w:val="1"/>
          <w:wAfter w:w="16" w:type="pct"/>
          <w:trHeight w:val="283"/>
        </w:trPr>
        <w:tc>
          <w:tcPr>
            <w:tcW w:w="242" w:type="pct"/>
            <w:shd w:val="clear" w:color="auto" w:fill="auto"/>
            <w:noWrap/>
            <w:vAlign w:val="center"/>
            <w:hideMark/>
          </w:tcPr>
          <w:p w14:paraId="14912563"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13</w:t>
            </w:r>
          </w:p>
        </w:tc>
        <w:tc>
          <w:tcPr>
            <w:tcW w:w="204" w:type="pct"/>
            <w:vMerge/>
            <w:shd w:val="clear" w:color="auto" w:fill="auto"/>
            <w:vAlign w:val="center"/>
            <w:hideMark/>
          </w:tcPr>
          <w:p w14:paraId="75E09A05"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4819DB7"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3B8C3E89"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1.1.13</w:t>
            </w:r>
          </w:p>
        </w:tc>
        <w:tc>
          <w:tcPr>
            <w:tcW w:w="1258" w:type="pct"/>
            <w:shd w:val="clear" w:color="auto" w:fill="auto"/>
            <w:noWrap/>
            <w:vAlign w:val="center"/>
            <w:hideMark/>
          </w:tcPr>
          <w:p w14:paraId="0E47EB6F"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接受抵债资产</w:t>
            </w:r>
          </w:p>
        </w:tc>
        <w:tc>
          <w:tcPr>
            <w:tcW w:w="2478" w:type="pct"/>
            <w:vMerge/>
            <w:shd w:val="clear" w:color="auto" w:fill="auto"/>
            <w:vAlign w:val="center"/>
            <w:hideMark/>
          </w:tcPr>
          <w:p w14:paraId="781FB6BF"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4BECB929" w14:textId="77777777" w:rsidTr="00DE61FF">
        <w:trPr>
          <w:gridAfter w:val="1"/>
          <w:wAfter w:w="16" w:type="pct"/>
          <w:trHeight w:val="283"/>
        </w:trPr>
        <w:tc>
          <w:tcPr>
            <w:tcW w:w="242" w:type="pct"/>
            <w:shd w:val="clear" w:color="auto" w:fill="auto"/>
            <w:noWrap/>
            <w:vAlign w:val="center"/>
            <w:hideMark/>
          </w:tcPr>
          <w:p w14:paraId="284E9BFD"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14</w:t>
            </w:r>
          </w:p>
        </w:tc>
        <w:tc>
          <w:tcPr>
            <w:tcW w:w="204" w:type="pct"/>
            <w:vMerge/>
            <w:shd w:val="clear" w:color="auto" w:fill="auto"/>
            <w:vAlign w:val="center"/>
            <w:hideMark/>
          </w:tcPr>
          <w:p w14:paraId="586E2486"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147C1840"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77BB147B"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1.1.14</w:t>
            </w:r>
          </w:p>
        </w:tc>
        <w:tc>
          <w:tcPr>
            <w:tcW w:w="1258" w:type="pct"/>
            <w:shd w:val="clear" w:color="auto" w:fill="auto"/>
            <w:noWrap/>
            <w:vAlign w:val="center"/>
            <w:hideMark/>
          </w:tcPr>
          <w:p w14:paraId="5F0DAC97"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债务重组</w:t>
            </w:r>
          </w:p>
        </w:tc>
        <w:tc>
          <w:tcPr>
            <w:tcW w:w="2478" w:type="pct"/>
            <w:vMerge/>
            <w:shd w:val="clear" w:color="auto" w:fill="auto"/>
            <w:vAlign w:val="center"/>
            <w:hideMark/>
          </w:tcPr>
          <w:p w14:paraId="2AA30B14"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1CD9BAE7" w14:textId="77777777" w:rsidTr="00DE61FF">
        <w:trPr>
          <w:gridAfter w:val="1"/>
          <w:wAfter w:w="16" w:type="pct"/>
          <w:trHeight w:val="268"/>
        </w:trPr>
        <w:tc>
          <w:tcPr>
            <w:tcW w:w="242" w:type="pct"/>
            <w:shd w:val="clear" w:color="auto" w:fill="auto"/>
            <w:noWrap/>
            <w:vAlign w:val="center"/>
            <w:hideMark/>
          </w:tcPr>
          <w:p w14:paraId="53882AE4"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15</w:t>
            </w:r>
          </w:p>
        </w:tc>
        <w:tc>
          <w:tcPr>
            <w:tcW w:w="204" w:type="pct"/>
            <w:vMerge/>
            <w:shd w:val="clear" w:color="auto" w:fill="auto"/>
            <w:vAlign w:val="center"/>
            <w:hideMark/>
          </w:tcPr>
          <w:p w14:paraId="6AC62862"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F082658"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6B3E9A5"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1.1.15</w:t>
            </w:r>
          </w:p>
        </w:tc>
        <w:tc>
          <w:tcPr>
            <w:tcW w:w="1258" w:type="pct"/>
            <w:shd w:val="clear" w:color="auto" w:fill="auto"/>
            <w:noWrap/>
            <w:vAlign w:val="center"/>
            <w:hideMark/>
          </w:tcPr>
          <w:p w14:paraId="3F171318"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公司制改建</w:t>
            </w:r>
          </w:p>
        </w:tc>
        <w:tc>
          <w:tcPr>
            <w:tcW w:w="2478" w:type="pct"/>
            <w:vMerge/>
            <w:shd w:val="clear" w:color="auto" w:fill="auto"/>
            <w:vAlign w:val="center"/>
            <w:hideMark/>
          </w:tcPr>
          <w:p w14:paraId="73444360" w14:textId="42688CF3"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70EB8AC7" w14:textId="77777777" w:rsidTr="00DE61FF">
        <w:trPr>
          <w:gridAfter w:val="1"/>
          <w:wAfter w:w="16" w:type="pct"/>
          <w:trHeight w:val="283"/>
        </w:trPr>
        <w:tc>
          <w:tcPr>
            <w:tcW w:w="242" w:type="pct"/>
            <w:shd w:val="clear" w:color="auto" w:fill="auto"/>
            <w:noWrap/>
            <w:vAlign w:val="center"/>
            <w:hideMark/>
          </w:tcPr>
          <w:p w14:paraId="67E40183"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16</w:t>
            </w:r>
          </w:p>
        </w:tc>
        <w:tc>
          <w:tcPr>
            <w:tcW w:w="204" w:type="pct"/>
            <w:vMerge/>
            <w:shd w:val="clear" w:color="auto" w:fill="auto"/>
            <w:vAlign w:val="center"/>
            <w:hideMark/>
          </w:tcPr>
          <w:p w14:paraId="7290F038"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D5C8616"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190C97E"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1.1.16</w:t>
            </w:r>
          </w:p>
        </w:tc>
        <w:tc>
          <w:tcPr>
            <w:tcW w:w="1258" w:type="pct"/>
            <w:shd w:val="clear" w:color="auto" w:fill="auto"/>
            <w:noWrap/>
            <w:vAlign w:val="center"/>
            <w:hideMark/>
          </w:tcPr>
          <w:p w14:paraId="4A8EB5E6"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企业合并</w:t>
            </w:r>
          </w:p>
        </w:tc>
        <w:tc>
          <w:tcPr>
            <w:tcW w:w="2478" w:type="pct"/>
            <w:vMerge/>
            <w:shd w:val="clear" w:color="auto" w:fill="auto"/>
            <w:vAlign w:val="center"/>
            <w:hideMark/>
          </w:tcPr>
          <w:p w14:paraId="5FE50B33" w14:textId="2B9889F8"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1FA35A82" w14:textId="77777777" w:rsidTr="00DE61FF">
        <w:trPr>
          <w:gridAfter w:val="1"/>
          <w:wAfter w:w="16" w:type="pct"/>
          <w:trHeight w:val="283"/>
        </w:trPr>
        <w:tc>
          <w:tcPr>
            <w:tcW w:w="242" w:type="pct"/>
            <w:shd w:val="clear" w:color="auto" w:fill="auto"/>
            <w:noWrap/>
            <w:vAlign w:val="center"/>
            <w:hideMark/>
          </w:tcPr>
          <w:p w14:paraId="1737D9AC"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17</w:t>
            </w:r>
          </w:p>
        </w:tc>
        <w:tc>
          <w:tcPr>
            <w:tcW w:w="204" w:type="pct"/>
            <w:vMerge/>
            <w:shd w:val="clear" w:color="auto" w:fill="auto"/>
            <w:vAlign w:val="center"/>
            <w:hideMark/>
          </w:tcPr>
          <w:p w14:paraId="0F91129B"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B837B61"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E21257D"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1.1.17</w:t>
            </w:r>
          </w:p>
        </w:tc>
        <w:tc>
          <w:tcPr>
            <w:tcW w:w="1258" w:type="pct"/>
            <w:shd w:val="clear" w:color="auto" w:fill="auto"/>
            <w:noWrap/>
            <w:vAlign w:val="center"/>
            <w:hideMark/>
          </w:tcPr>
          <w:p w14:paraId="28A7D972"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企业分立</w:t>
            </w:r>
          </w:p>
        </w:tc>
        <w:tc>
          <w:tcPr>
            <w:tcW w:w="2478" w:type="pct"/>
            <w:vMerge/>
            <w:shd w:val="clear" w:color="auto" w:fill="auto"/>
            <w:vAlign w:val="center"/>
            <w:hideMark/>
          </w:tcPr>
          <w:p w14:paraId="4A4DA442"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6B8AB169" w14:textId="77777777" w:rsidTr="00DE61FF">
        <w:trPr>
          <w:gridAfter w:val="1"/>
          <w:wAfter w:w="16" w:type="pct"/>
          <w:trHeight w:val="283"/>
        </w:trPr>
        <w:tc>
          <w:tcPr>
            <w:tcW w:w="242" w:type="pct"/>
            <w:shd w:val="clear" w:color="auto" w:fill="auto"/>
            <w:noWrap/>
            <w:vAlign w:val="center"/>
            <w:hideMark/>
          </w:tcPr>
          <w:p w14:paraId="58D40198"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18</w:t>
            </w:r>
          </w:p>
        </w:tc>
        <w:tc>
          <w:tcPr>
            <w:tcW w:w="204" w:type="pct"/>
            <w:vMerge/>
            <w:shd w:val="clear" w:color="auto" w:fill="auto"/>
            <w:vAlign w:val="center"/>
            <w:hideMark/>
          </w:tcPr>
          <w:p w14:paraId="46207434"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6616C821"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30880A5"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1.1.18</w:t>
            </w:r>
          </w:p>
        </w:tc>
        <w:tc>
          <w:tcPr>
            <w:tcW w:w="1258" w:type="pct"/>
            <w:shd w:val="clear" w:color="auto" w:fill="auto"/>
            <w:noWrap/>
            <w:vAlign w:val="center"/>
            <w:hideMark/>
          </w:tcPr>
          <w:p w14:paraId="483BE793"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企业破产</w:t>
            </w:r>
          </w:p>
        </w:tc>
        <w:tc>
          <w:tcPr>
            <w:tcW w:w="2478" w:type="pct"/>
            <w:vMerge/>
            <w:shd w:val="clear" w:color="auto" w:fill="auto"/>
            <w:vAlign w:val="center"/>
            <w:hideMark/>
          </w:tcPr>
          <w:p w14:paraId="3D2FBDA1"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62771E3E" w14:textId="77777777" w:rsidTr="00DE61FF">
        <w:trPr>
          <w:gridAfter w:val="1"/>
          <w:wAfter w:w="16" w:type="pct"/>
          <w:trHeight w:val="283"/>
        </w:trPr>
        <w:tc>
          <w:tcPr>
            <w:tcW w:w="242" w:type="pct"/>
            <w:shd w:val="clear" w:color="auto" w:fill="auto"/>
            <w:noWrap/>
            <w:vAlign w:val="center"/>
            <w:hideMark/>
          </w:tcPr>
          <w:p w14:paraId="42C506E0"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19</w:t>
            </w:r>
          </w:p>
        </w:tc>
        <w:tc>
          <w:tcPr>
            <w:tcW w:w="204" w:type="pct"/>
            <w:vMerge/>
            <w:shd w:val="clear" w:color="auto" w:fill="auto"/>
            <w:vAlign w:val="center"/>
            <w:hideMark/>
          </w:tcPr>
          <w:p w14:paraId="39C2F25D"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06D89BA7"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3ED7FC2E"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1.1.19</w:t>
            </w:r>
          </w:p>
        </w:tc>
        <w:tc>
          <w:tcPr>
            <w:tcW w:w="1258" w:type="pct"/>
            <w:shd w:val="clear" w:color="auto" w:fill="auto"/>
            <w:noWrap/>
            <w:vAlign w:val="center"/>
            <w:hideMark/>
          </w:tcPr>
          <w:p w14:paraId="7EF2587C"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企业清算</w:t>
            </w:r>
          </w:p>
        </w:tc>
        <w:tc>
          <w:tcPr>
            <w:tcW w:w="2478" w:type="pct"/>
            <w:vMerge/>
            <w:shd w:val="clear" w:color="auto" w:fill="auto"/>
            <w:vAlign w:val="center"/>
            <w:hideMark/>
          </w:tcPr>
          <w:p w14:paraId="32397CD7"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74D140AE" w14:textId="77777777" w:rsidTr="00DE61FF">
        <w:trPr>
          <w:gridAfter w:val="1"/>
          <w:wAfter w:w="16" w:type="pct"/>
          <w:trHeight w:val="283"/>
        </w:trPr>
        <w:tc>
          <w:tcPr>
            <w:tcW w:w="242" w:type="pct"/>
            <w:shd w:val="clear" w:color="auto" w:fill="auto"/>
            <w:noWrap/>
            <w:vAlign w:val="center"/>
            <w:hideMark/>
          </w:tcPr>
          <w:p w14:paraId="0ED01E12"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20</w:t>
            </w:r>
          </w:p>
        </w:tc>
        <w:tc>
          <w:tcPr>
            <w:tcW w:w="204" w:type="pct"/>
            <w:vMerge/>
            <w:shd w:val="clear" w:color="auto" w:fill="auto"/>
            <w:vAlign w:val="center"/>
            <w:hideMark/>
          </w:tcPr>
          <w:p w14:paraId="658D2223"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2637CBE"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DB571AB"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1.1.20</w:t>
            </w:r>
          </w:p>
        </w:tc>
        <w:tc>
          <w:tcPr>
            <w:tcW w:w="1258" w:type="pct"/>
            <w:shd w:val="clear" w:color="auto" w:fill="auto"/>
            <w:noWrap/>
            <w:vAlign w:val="center"/>
            <w:hideMark/>
          </w:tcPr>
          <w:p w14:paraId="64D6957F"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企业解散</w:t>
            </w:r>
          </w:p>
        </w:tc>
        <w:tc>
          <w:tcPr>
            <w:tcW w:w="2478" w:type="pct"/>
            <w:vMerge/>
            <w:shd w:val="clear" w:color="auto" w:fill="auto"/>
            <w:vAlign w:val="center"/>
            <w:hideMark/>
          </w:tcPr>
          <w:p w14:paraId="17320407"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2AA6278F" w14:textId="77777777" w:rsidTr="00DE61FF">
        <w:trPr>
          <w:gridAfter w:val="1"/>
          <w:wAfter w:w="16" w:type="pct"/>
          <w:trHeight w:val="283"/>
        </w:trPr>
        <w:tc>
          <w:tcPr>
            <w:tcW w:w="242" w:type="pct"/>
            <w:shd w:val="clear" w:color="auto" w:fill="auto"/>
            <w:noWrap/>
            <w:vAlign w:val="center"/>
            <w:hideMark/>
          </w:tcPr>
          <w:p w14:paraId="1AAB3FA3"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21</w:t>
            </w:r>
          </w:p>
        </w:tc>
        <w:tc>
          <w:tcPr>
            <w:tcW w:w="204" w:type="pct"/>
            <w:vMerge/>
            <w:shd w:val="clear" w:color="auto" w:fill="auto"/>
            <w:vAlign w:val="center"/>
            <w:hideMark/>
          </w:tcPr>
          <w:p w14:paraId="5869F9D6"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4A26107"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4714507"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1.1.21</w:t>
            </w:r>
          </w:p>
        </w:tc>
        <w:tc>
          <w:tcPr>
            <w:tcW w:w="1258" w:type="pct"/>
            <w:shd w:val="clear" w:color="auto" w:fill="auto"/>
            <w:noWrap/>
            <w:vAlign w:val="center"/>
            <w:hideMark/>
          </w:tcPr>
          <w:p w14:paraId="5871DE34"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增资扩股</w:t>
            </w:r>
          </w:p>
        </w:tc>
        <w:tc>
          <w:tcPr>
            <w:tcW w:w="2478" w:type="pct"/>
            <w:vMerge/>
            <w:shd w:val="clear" w:color="auto" w:fill="auto"/>
            <w:vAlign w:val="center"/>
            <w:hideMark/>
          </w:tcPr>
          <w:p w14:paraId="236667BB" w14:textId="01B58413"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3F91B010" w14:textId="77777777" w:rsidTr="00DE61FF">
        <w:trPr>
          <w:gridAfter w:val="1"/>
          <w:wAfter w:w="16" w:type="pct"/>
          <w:trHeight w:val="283"/>
        </w:trPr>
        <w:tc>
          <w:tcPr>
            <w:tcW w:w="242" w:type="pct"/>
            <w:shd w:val="clear" w:color="auto" w:fill="auto"/>
            <w:noWrap/>
            <w:vAlign w:val="center"/>
            <w:hideMark/>
          </w:tcPr>
          <w:p w14:paraId="43485C63"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22</w:t>
            </w:r>
          </w:p>
        </w:tc>
        <w:tc>
          <w:tcPr>
            <w:tcW w:w="204" w:type="pct"/>
            <w:vMerge/>
            <w:shd w:val="clear" w:color="auto" w:fill="auto"/>
            <w:vAlign w:val="center"/>
            <w:hideMark/>
          </w:tcPr>
          <w:p w14:paraId="70EE222A"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AA19CEA"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50DC05C"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1.1.22</w:t>
            </w:r>
          </w:p>
        </w:tc>
        <w:tc>
          <w:tcPr>
            <w:tcW w:w="1258" w:type="pct"/>
            <w:shd w:val="clear" w:color="auto" w:fill="auto"/>
            <w:noWrap/>
            <w:vAlign w:val="center"/>
            <w:hideMark/>
          </w:tcPr>
          <w:p w14:paraId="1B994CEF" w14:textId="310C969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IPO</w:t>
            </w:r>
          </w:p>
        </w:tc>
        <w:tc>
          <w:tcPr>
            <w:tcW w:w="2478" w:type="pct"/>
            <w:vMerge/>
            <w:shd w:val="clear" w:color="auto" w:fill="auto"/>
            <w:vAlign w:val="center"/>
            <w:hideMark/>
          </w:tcPr>
          <w:p w14:paraId="6329398D"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7ACADE6E" w14:textId="77777777" w:rsidTr="00DE61FF">
        <w:trPr>
          <w:gridAfter w:val="1"/>
          <w:wAfter w:w="16" w:type="pct"/>
          <w:trHeight w:val="283"/>
        </w:trPr>
        <w:tc>
          <w:tcPr>
            <w:tcW w:w="242" w:type="pct"/>
            <w:shd w:val="clear" w:color="auto" w:fill="auto"/>
            <w:noWrap/>
            <w:vAlign w:val="center"/>
            <w:hideMark/>
          </w:tcPr>
          <w:p w14:paraId="531C277C"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23</w:t>
            </w:r>
          </w:p>
        </w:tc>
        <w:tc>
          <w:tcPr>
            <w:tcW w:w="204" w:type="pct"/>
            <w:vMerge/>
            <w:shd w:val="clear" w:color="auto" w:fill="auto"/>
            <w:vAlign w:val="center"/>
            <w:hideMark/>
          </w:tcPr>
          <w:p w14:paraId="42C22BEA"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E1B7BC3"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F67B3D1"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1.1.23</w:t>
            </w:r>
          </w:p>
        </w:tc>
        <w:tc>
          <w:tcPr>
            <w:tcW w:w="1258" w:type="pct"/>
            <w:shd w:val="clear" w:color="auto" w:fill="auto"/>
            <w:noWrap/>
            <w:vAlign w:val="center"/>
            <w:hideMark/>
          </w:tcPr>
          <w:p w14:paraId="786A39CE"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股权转让</w:t>
            </w:r>
          </w:p>
        </w:tc>
        <w:tc>
          <w:tcPr>
            <w:tcW w:w="2478" w:type="pct"/>
            <w:vMerge/>
            <w:shd w:val="clear" w:color="auto" w:fill="auto"/>
            <w:vAlign w:val="center"/>
            <w:hideMark/>
          </w:tcPr>
          <w:p w14:paraId="1E388ECC" w14:textId="77777777" w:rsidR="0058270E" w:rsidRPr="000D03B4" w:rsidRDefault="0058270E" w:rsidP="00264E2B">
            <w:pPr>
              <w:widowControl/>
              <w:adjustRightInd w:val="0"/>
              <w:snapToGrid w:val="0"/>
              <w:jc w:val="left"/>
              <w:rPr>
                <w:rFonts w:eastAsiaTheme="majorEastAsia"/>
                <w:kern w:val="0"/>
                <w:sz w:val="18"/>
                <w:szCs w:val="18"/>
              </w:rPr>
            </w:pPr>
          </w:p>
        </w:tc>
      </w:tr>
      <w:tr w:rsidR="0058270E" w:rsidRPr="000D03B4" w14:paraId="6FD58A13" w14:textId="77777777" w:rsidTr="00DE61FF">
        <w:trPr>
          <w:gridAfter w:val="1"/>
          <w:wAfter w:w="16" w:type="pct"/>
          <w:trHeight w:val="702"/>
        </w:trPr>
        <w:tc>
          <w:tcPr>
            <w:tcW w:w="242" w:type="pct"/>
            <w:shd w:val="clear" w:color="auto" w:fill="auto"/>
            <w:noWrap/>
            <w:vAlign w:val="center"/>
            <w:hideMark/>
          </w:tcPr>
          <w:p w14:paraId="53C41640"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24</w:t>
            </w:r>
          </w:p>
        </w:tc>
        <w:tc>
          <w:tcPr>
            <w:tcW w:w="204" w:type="pct"/>
            <w:vMerge/>
            <w:shd w:val="clear" w:color="auto" w:fill="auto"/>
            <w:vAlign w:val="center"/>
            <w:hideMark/>
          </w:tcPr>
          <w:p w14:paraId="39A69D3C" w14:textId="77777777" w:rsidR="0058270E" w:rsidRPr="000D03B4" w:rsidRDefault="0058270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7EAE62E" w14:textId="77777777" w:rsidR="0058270E" w:rsidRPr="000D03B4" w:rsidRDefault="0058270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98D5552" w14:textId="77777777" w:rsidR="0058270E" w:rsidRPr="000D03B4" w:rsidRDefault="0058270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1.1.24</w:t>
            </w:r>
          </w:p>
        </w:tc>
        <w:tc>
          <w:tcPr>
            <w:tcW w:w="1258" w:type="pct"/>
            <w:shd w:val="clear" w:color="auto" w:fill="auto"/>
            <w:noWrap/>
            <w:vAlign w:val="center"/>
            <w:hideMark/>
          </w:tcPr>
          <w:p w14:paraId="5E0EDFC3" w14:textId="77777777" w:rsidR="0058270E" w:rsidRPr="000D03B4" w:rsidRDefault="0058270E" w:rsidP="00A745DB">
            <w:pPr>
              <w:widowControl/>
              <w:adjustRightInd w:val="0"/>
              <w:snapToGrid w:val="0"/>
              <w:rPr>
                <w:rFonts w:eastAsiaTheme="majorEastAsia"/>
                <w:kern w:val="0"/>
                <w:sz w:val="18"/>
                <w:szCs w:val="18"/>
              </w:rPr>
            </w:pPr>
            <w:r w:rsidRPr="000D03B4">
              <w:rPr>
                <w:rFonts w:eastAsiaTheme="majorEastAsia"/>
                <w:kern w:val="0"/>
                <w:sz w:val="18"/>
                <w:szCs w:val="18"/>
              </w:rPr>
              <w:t>债转股</w:t>
            </w:r>
          </w:p>
        </w:tc>
        <w:tc>
          <w:tcPr>
            <w:tcW w:w="2478" w:type="pct"/>
            <w:vMerge/>
            <w:shd w:val="clear" w:color="auto" w:fill="auto"/>
            <w:vAlign w:val="center"/>
            <w:hideMark/>
          </w:tcPr>
          <w:p w14:paraId="7BAB25C9" w14:textId="77777777" w:rsidR="0058270E" w:rsidRPr="000D03B4" w:rsidRDefault="0058270E" w:rsidP="00264E2B">
            <w:pPr>
              <w:widowControl/>
              <w:adjustRightInd w:val="0"/>
              <w:snapToGrid w:val="0"/>
              <w:jc w:val="left"/>
              <w:rPr>
                <w:rFonts w:eastAsiaTheme="majorEastAsia"/>
                <w:kern w:val="0"/>
                <w:sz w:val="18"/>
                <w:szCs w:val="18"/>
              </w:rPr>
            </w:pPr>
          </w:p>
        </w:tc>
      </w:tr>
      <w:tr w:rsidR="00B74F04" w:rsidRPr="000D03B4" w14:paraId="40A4BBD6" w14:textId="77777777" w:rsidTr="00DE61FF">
        <w:trPr>
          <w:gridAfter w:val="1"/>
          <w:wAfter w:w="16" w:type="pct"/>
          <w:trHeight w:val="283"/>
        </w:trPr>
        <w:tc>
          <w:tcPr>
            <w:tcW w:w="242" w:type="pct"/>
            <w:shd w:val="clear" w:color="auto" w:fill="auto"/>
            <w:noWrap/>
            <w:vAlign w:val="center"/>
            <w:hideMark/>
          </w:tcPr>
          <w:p w14:paraId="6E1EF70E"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lastRenderedPageBreak/>
              <w:t>N25</w:t>
            </w:r>
          </w:p>
        </w:tc>
        <w:tc>
          <w:tcPr>
            <w:tcW w:w="204" w:type="pct"/>
            <w:vMerge w:val="restart"/>
            <w:shd w:val="clear" w:color="auto" w:fill="auto"/>
            <w:noWrap/>
            <w:vAlign w:val="center"/>
            <w:hideMark/>
          </w:tcPr>
          <w:p w14:paraId="48D82DEC"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w:t>
            </w:r>
          </w:p>
        </w:tc>
        <w:tc>
          <w:tcPr>
            <w:tcW w:w="449" w:type="pct"/>
            <w:vMerge w:val="restart"/>
            <w:shd w:val="clear" w:color="auto" w:fill="auto"/>
            <w:noWrap/>
            <w:vAlign w:val="center"/>
            <w:hideMark/>
          </w:tcPr>
          <w:p w14:paraId="286699F1"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国有企业</w:t>
            </w:r>
          </w:p>
        </w:tc>
        <w:tc>
          <w:tcPr>
            <w:tcW w:w="353" w:type="pct"/>
            <w:shd w:val="clear" w:color="auto" w:fill="auto"/>
            <w:noWrap/>
            <w:vAlign w:val="center"/>
            <w:hideMark/>
          </w:tcPr>
          <w:p w14:paraId="032C78EA"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1.2.1</w:t>
            </w:r>
          </w:p>
        </w:tc>
        <w:tc>
          <w:tcPr>
            <w:tcW w:w="1258" w:type="pct"/>
            <w:shd w:val="clear" w:color="auto" w:fill="auto"/>
            <w:noWrap/>
            <w:vAlign w:val="center"/>
            <w:hideMark/>
          </w:tcPr>
          <w:p w14:paraId="5C274BA0" w14:textId="77777777" w:rsidR="00B74F04" w:rsidRPr="000D03B4" w:rsidRDefault="00B74F04" w:rsidP="00A745DB">
            <w:pPr>
              <w:widowControl/>
              <w:adjustRightInd w:val="0"/>
              <w:snapToGrid w:val="0"/>
              <w:rPr>
                <w:kern w:val="0"/>
                <w:sz w:val="18"/>
                <w:szCs w:val="18"/>
              </w:rPr>
            </w:pPr>
            <w:r w:rsidRPr="000D03B4">
              <w:rPr>
                <w:kern w:val="0"/>
                <w:sz w:val="18"/>
                <w:szCs w:val="18"/>
              </w:rPr>
              <w:t>中央企业的股权投资</w:t>
            </w:r>
          </w:p>
        </w:tc>
        <w:tc>
          <w:tcPr>
            <w:tcW w:w="2478" w:type="pct"/>
            <w:shd w:val="clear" w:color="auto" w:fill="auto"/>
            <w:vAlign w:val="center"/>
            <w:hideMark/>
          </w:tcPr>
          <w:p w14:paraId="19FC55EC" w14:textId="11E7E0F7" w:rsidR="00B74F04" w:rsidRPr="000D03B4" w:rsidRDefault="00365357" w:rsidP="00264E2B">
            <w:pPr>
              <w:widowControl/>
              <w:adjustRightInd w:val="0"/>
              <w:snapToGrid w:val="0"/>
              <w:jc w:val="left"/>
              <w:rPr>
                <w:kern w:val="0"/>
                <w:sz w:val="18"/>
                <w:szCs w:val="18"/>
              </w:rPr>
            </w:pPr>
            <w:r w:rsidRPr="000D03B4">
              <w:rPr>
                <w:kern w:val="0"/>
                <w:sz w:val="18"/>
                <w:szCs w:val="18"/>
              </w:rPr>
              <w:t>（</w:t>
            </w:r>
            <w:r w:rsidR="0057640D" w:rsidRPr="000D03B4">
              <w:rPr>
                <w:kern w:val="0"/>
                <w:sz w:val="18"/>
                <w:szCs w:val="18"/>
              </w:rPr>
              <w:t>1</w:t>
            </w:r>
            <w:r w:rsidRPr="000D03B4">
              <w:rPr>
                <w:kern w:val="0"/>
                <w:sz w:val="18"/>
                <w:szCs w:val="18"/>
              </w:rPr>
              <w:t>）</w:t>
            </w:r>
            <w:r w:rsidR="00B74F04" w:rsidRPr="000D03B4">
              <w:rPr>
                <w:kern w:val="0"/>
                <w:sz w:val="18"/>
                <w:szCs w:val="18"/>
              </w:rPr>
              <w:t>《中央企业境外国有产权管理暂行办法》（国资委令第</w:t>
            </w:r>
            <w:r w:rsidR="00B74F04" w:rsidRPr="000D03B4">
              <w:rPr>
                <w:kern w:val="0"/>
                <w:sz w:val="18"/>
                <w:szCs w:val="18"/>
              </w:rPr>
              <w:t>27</w:t>
            </w:r>
            <w:r w:rsidR="00B74F04" w:rsidRPr="000D03B4">
              <w:rPr>
                <w:kern w:val="0"/>
                <w:sz w:val="18"/>
                <w:szCs w:val="18"/>
              </w:rPr>
              <w:t>号）；</w:t>
            </w:r>
          </w:p>
          <w:p w14:paraId="17211ADE" w14:textId="402136DF" w:rsidR="00B74F04" w:rsidRPr="000D03B4" w:rsidRDefault="00365357" w:rsidP="00264E2B">
            <w:pPr>
              <w:widowControl/>
              <w:adjustRightInd w:val="0"/>
              <w:snapToGrid w:val="0"/>
              <w:jc w:val="left"/>
              <w:rPr>
                <w:kern w:val="0"/>
                <w:sz w:val="18"/>
                <w:szCs w:val="18"/>
              </w:rPr>
            </w:pPr>
            <w:r w:rsidRPr="000D03B4">
              <w:rPr>
                <w:kern w:val="0"/>
                <w:sz w:val="18"/>
                <w:szCs w:val="18"/>
              </w:rPr>
              <w:t>（</w:t>
            </w:r>
            <w:r w:rsidR="0057640D" w:rsidRPr="000D03B4">
              <w:rPr>
                <w:kern w:val="0"/>
                <w:sz w:val="18"/>
                <w:szCs w:val="18"/>
              </w:rPr>
              <w:t>2</w:t>
            </w:r>
            <w:r w:rsidRPr="000D03B4">
              <w:rPr>
                <w:kern w:val="0"/>
                <w:sz w:val="18"/>
                <w:szCs w:val="18"/>
              </w:rPr>
              <w:t>）</w:t>
            </w:r>
            <w:r w:rsidR="00B74F04" w:rsidRPr="000D03B4">
              <w:rPr>
                <w:kern w:val="0"/>
                <w:sz w:val="18"/>
                <w:szCs w:val="18"/>
              </w:rPr>
              <w:t>《中央企业投资监督管理办法》（国资委令第</w:t>
            </w:r>
            <w:r w:rsidR="00B74F04" w:rsidRPr="000D03B4">
              <w:rPr>
                <w:kern w:val="0"/>
                <w:sz w:val="18"/>
                <w:szCs w:val="18"/>
              </w:rPr>
              <w:t>34</w:t>
            </w:r>
            <w:r w:rsidR="00B74F04" w:rsidRPr="000D03B4">
              <w:rPr>
                <w:kern w:val="0"/>
                <w:sz w:val="18"/>
                <w:szCs w:val="18"/>
              </w:rPr>
              <w:t>号）；</w:t>
            </w:r>
          </w:p>
          <w:p w14:paraId="6A8D0FD1" w14:textId="3C75C0A1" w:rsidR="00B74F04" w:rsidRPr="000D03B4" w:rsidRDefault="00365357" w:rsidP="00264E2B">
            <w:pPr>
              <w:widowControl/>
              <w:adjustRightInd w:val="0"/>
              <w:snapToGrid w:val="0"/>
              <w:jc w:val="left"/>
              <w:rPr>
                <w:kern w:val="0"/>
                <w:sz w:val="18"/>
                <w:szCs w:val="18"/>
              </w:rPr>
            </w:pPr>
            <w:r w:rsidRPr="000D03B4">
              <w:rPr>
                <w:kern w:val="0"/>
                <w:sz w:val="18"/>
                <w:szCs w:val="18"/>
              </w:rPr>
              <w:t>（</w:t>
            </w:r>
            <w:r w:rsidR="0057640D" w:rsidRPr="000D03B4">
              <w:rPr>
                <w:kern w:val="0"/>
                <w:sz w:val="18"/>
                <w:szCs w:val="18"/>
              </w:rPr>
              <w:t>3</w:t>
            </w:r>
            <w:r w:rsidRPr="000D03B4">
              <w:rPr>
                <w:kern w:val="0"/>
                <w:sz w:val="18"/>
                <w:szCs w:val="18"/>
              </w:rPr>
              <w:t>）</w:t>
            </w:r>
            <w:r w:rsidR="00B74F04" w:rsidRPr="000D03B4">
              <w:rPr>
                <w:kern w:val="0"/>
                <w:sz w:val="18"/>
                <w:szCs w:val="18"/>
              </w:rPr>
              <w:t>《中央企业境外投资监督管理办法》（</w:t>
            </w:r>
            <w:proofErr w:type="gramStart"/>
            <w:r w:rsidR="00B74F04" w:rsidRPr="000D03B4">
              <w:rPr>
                <w:kern w:val="0"/>
                <w:sz w:val="18"/>
                <w:szCs w:val="18"/>
              </w:rPr>
              <w:t>国资令第</w:t>
            </w:r>
            <w:r w:rsidR="00B74F04" w:rsidRPr="000D03B4">
              <w:rPr>
                <w:kern w:val="0"/>
                <w:sz w:val="18"/>
                <w:szCs w:val="18"/>
              </w:rPr>
              <w:t>35</w:t>
            </w:r>
            <w:r w:rsidR="00B74F04" w:rsidRPr="000D03B4">
              <w:rPr>
                <w:kern w:val="0"/>
                <w:sz w:val="18"/>
                <w:szCs w:val="18"/>
              </w:rPr>
              <w:t>号</w:t>
            </w:r>
            <w:proofErr w:type="gramEnd"/>
            <w:r w:rsidR="00B74F04" w:rsidRPr="000D03B4">
              <w:rPr>
                <w:kern w:val="0"/>
                <w:sz w:val="18"/>
                <w:szCs w:val="18"/>
              </w:rPr>
              <w:t>）。</w:t>
            </w:r>
          </w:p>
        </w:tc>
      </w:tr>
      <w:tr w:rsidR="00B74F04" w:rsidRPr="000D03B4" w14:paraId="56785E2D" w14:textId="77777777" w:rsidTr="00DE61FF">
        <w:trPr>
          <w:gridAfter w:val="1"/>
          <w:wAfter w:w="16" w:type="pct"/>
          <w:trHeight w:val="283"/>
        </w:trPr>
        <w:tc>
          <w:tcPr>
            <w:tcW w:w="242" w:type="pct"/>
            <w:shd w:val="clear" w:color="auto" w:fill="auto"/>
            <w:noWrap/>
            <w:vAlign w:val="center"/>
            <w:hideMark/>
          </w:tcPr>
          <w:p w14:paraId="0AC6E4B3"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N26</w:t>
            </w:r>
          </w:p>
        </w:tc>
        <w:tc>
          <w:tcPr>
            <w:tcW w:w="204" w:type="pct"/>
            <w:vMerge/>
            <w:shd w:val="clear" w:color="auto" w:fill="auto"/>
            <w:vAlign w:val="center"/>
            <w:hideMark/>
          </w:tcPr>
          <w:p w14:paraId="40A3041A" w14:textId="77777777" w:rsidR="00B74F04" w:rsidRPr="000D03B4" w:rsidRDefault="00B74F04"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8E133E2" w14:textId="77777777" w:rsidR="00B74F04" w:rsidRPr="000D03B4" w:rsidRDefault="00B74F04"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2904829"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1.2.2</w:t>
            </w:r>
          </w:p>
        </w:tc>
        <w:tc>
          <w:tcPr>
            <w:tcW w:w="1258" w:type="pct"/>
            <w:shd w:val="clear" w:color="auto" w:fill="auto"/>
            <w:noWrap/>
            <w:vAlign w:val="center"/>
            <w:hideMark/>
          </w:tcPr>
          <w:p w14:paraId="742D0550" w14:textId="77777777" w:rsidR="00B74F04" w:rsidRPr="000D03B4" w:rsidRDefault="00B74F04" w:rsidP="00A745DB">
            <w:pPr>
              <w:widowControl/>
              <w:adjustRightInd w:val="0"/>
              <w:snapToGrid w:val="0"/>
              <w:rPr>
                <w:kern w:val="0"/>
                <w:sz w:val="18"/>
                <w:szCs w:val="18"/>
              </w:rPr>
            </w:pPr>
            <w:r w:rsidRPr="000D03B4">
              <w:rPr>
                <w:kern w:val="0"/>
                <w:sz w:val="18"/>
                <w:szCs w:val="18"/>
              </w:rPr>
              <w:t>国有控股混合所有制企业员工以科技成果出资</w:t>
            </w:r>
          </w:p>
        </w:tc>
        <w:tc>
          <w:tcPr>
            <w:tcW w:w="2478" w:type="pct"/>
            <w:vMerge w:val="restart"/>
            <w:shd w:val="clear" w:color="auto" w:fill="auto"/>
            <w:vAlign w:val="center"/>
            <w:hideMark/>
          </w:tcPr>
          <w:p w14:paraId="7E31C5A6" w14:textId="6282514C" w:rsidR="00B74F04" w:rsidRPr="000D03B4" w:rsidRDefault="00365357" w:rsidP="00264E2B">
            <w:pPr>
              <w:widowControl/>
              <w:adjustRightInd w:val="0"/>
              <w:snapToGrid w:val="0"/>
              <w:jc w:val="left"/>
              <w:rPr>
                <w:kern w:val="0"/>
                <w:sz w:val="18"/>
                <w:szCs w:val="18"/>
              </w:rPr>
            </w:pPr>
            <w:r w:rsidRPr="000D03B4">
              <w:rPr>
                <w:kern w:val="0"/>
                <w:sz w:val="18"/>
                <w:szCs w:val="18"/>
              </w:rPr>
              <w:t>（</w:t>
            </w:r>
            <w:r w:rsidR="0057640D" w:rsidRPr="000D03B4">
              <w:rPr>
                <w:kern w:val="0"/>
                <w:sz w:val="18"/>
                <w:szCs w:val="18"/>
              </w:rPr>
              <w:t>1</w:t>
            </w:r>
            <w:r w:rsidRPr="000D03B4">
              <w:rPr>
                <w:kern w:val="0"/>
                <w:sz w:val="18"/>
                <w:szCs w:val="18"/>
              </w:rPr>
              <w:t>）</w:t>
            </w:r>
            <w:r w:rsidR="00B74F04" w:rsidRPr="000D03B4">
              <w:rPr>
                <w:kern w:val="0"/>
                <w:sz w:val="18"/>
                <w:szCs w:val="18"/>
              </w:rPr>
              <w:t>《关于国有企业发展混合所有制经济的意见》（国发〔</w:t>
            </w:r>
            <w:r w:rsidR="00B74F04" w:rsidRPr="000D03B4">
              <w:rPr>
                <w:kern w:val="0"/>
                <w:sz w:val="18"/>
                <w:szCs w:val="18"/>
              </w:rPr>
              <w:t>2015</w:t>
            </w:r>
            <w:r w:rsidR="00B74F04" w:rsidRPr="000D03B4">
              <w:rPr>
                <w:kern w:val="0"/>
                <w:sz w:val="18"/>
                <w:szCs w:val="18"/>
              </w:rPr>
              <w:t>〕</w:t>
            </w:r>
            <w:r w:rsidR="00B74F04" w:rsidRPr="000D03B4">
              <w:rPr>
                <w:kern w:val="0"/>
                <w:sz w:val="18"/>
                <w:szCs w:val="18"/>
              </w:rPr>
              <w:t>54</w:t>
            </w:r>
            <w:r w:rsidR="00B74F04" w:rsidRPr="000D03B4">
              <w:rPr>
                <w:kern w:val="0"/>
                <w:sz w:val="18"/>
                <w:szCs w:val="18"/>
              </w:rPr>
              <w:t>号）；</w:t>
            </w:r>
            <w:r w:rsidR="00B74F04" w:rsidRPr="000D03B4">
              <w:rPr>
                <w:kern w:val="0"/>
                <w:sz w:val="18"/>
                <w:szCs w:val="18"/>
              </w:rPr>
              <w:br/>
            </w:r>
            <w:r w:rsidRPr="000D03B4">
              <w:rPr>
                <w:kern w:val="0"/>
                <w:sz w:val="18"/>
                <w:szCs w:val="18"/>
              </w:rPr>
              <w:t>（</w:t>
            </w:r>
            <w:r w:rsidR="0057640D" w:rsidRPr="000D03B4">
              <w:rPr>
                <w:kern w:val="0"/>
                <w:sz w:val="18"/>
                <w:szCs w:val="18"/>
              </w:rPr>
              <w:t>2</w:t>
            </w:r>
            <w:r w:rsidRPr="000D03B4">
              <w:rPr>
                <w:kern w:val="0"/>
                <w:sz w:val="18"/>
                <w:szCs w:val="18"/>
              </w:rPr>
              <w:t>）</w:t>
            </w:r>
            <w:r w:rsidR="00B74F04" w:rsidRPr="000D03B4">
              <w:rPr>
                <w:kern w:val="0"/>
                <w:sz w:val="18"/>
                <w:szCs w:val="18"/>
              </w:rPr>
              <w:t>《关于国有控股混合所有制企业开展员工持股试点的意见》（国</w:t>
            </w:r>
            <w:proofErr w:type="gramStart"/>
            <w:r w:rsidR="00B74F04" w:rsidRPr="000D03B4">
              <w:rPr>
                <w:kern w:val="0"/>
                <w:sz w:val="18"/>
                <w:szCs w:val="18"/>
              </w:rPr>
              <w:t>资发改革</w:t>
            </w:r>
            <w:proofErr w:type="gramEnd"/>
            <w:r w:rsidR="00B74F04" w:rsidRPr="000D03B4">
              <w:rPr>
                <w:kern w:val="0"/>
                <w:sz w:val="18"/>
                <w:szCs w:val="18"/>
              </w:rPr>
              <w:t>〔</w:t>
            </w:r>
            <w:r w:rsidR="00B74F04" w:rsidRPr="000D03B4">
              <w:rPr>
                <w:kern w:val="0"/>
                <w:sz w:val="18"/>
                <w:szCs w:val="18"/>
              </w:rPr>
              <w:t>2016</w:t>
            </w:r>
            <w:r w:rsidR="00B74F04" w:rsidRPr="000D03B4">
              <w:rPr>
                <w:kern w:val="0"/>
                <w:sz w:val="18"/>
                <w:szCs w:val="18"/>
              </w:rPr>
              <w:t>〕</w:t>
            </w:r>
            <w:r w:rsidR="00B74F04" w:rsidRPr="000D03B4">
              <w:rPr>
                <w:kern w:val="0"/>
                <w:sz w:val="18"/>
                <w:szCs w:val="18"/>
              </w:rPr>
              <w:t>133</w:t>
            </w:r>
            <w:r w:rsidR="00B74F04" w:rsidRPr="000D03B4">
              <w:rPr>
                <w:kern w:val="0"/>
                <w:sz w:val="18"/>
                <w:szCs w:val="18"/>
              </w:rPr>
              <w:t>号）。</w:t>
            </w:r>
          </w:p>
        </w:tc>
      </w:tr>
      <w:tr w:rsidR="00B74F04" w:rsidRPr="000D03B4" w14:paraId="6131EC44" w14:textId="77777777" w:rsidTr="00DE61FF">
        <w:trPr>
          <w:gridAfter w:val="1"/>
          <w:wAfter w:w="16" w:type="pct"/>
          <w:trHeight w:val="283"/>
        </w:trPr>
        <w:tc>
          <w:tcPr>
            <w:tcW w:w="242" w:type="pct"/>
            <w:shd w:val="clear" w:color="auto" w:fill="auto"/>
            <w:noWrap/>
            <w:vAlign w:val="center"/>
            <w:hideMark/>
          </w:tcPr>
          <w:p w14:paraId="62C1BB56"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N27</w:t>
            </w:r>
          </w:p>
        </w:tc>
        <w:tc>
          <w:tcPr>
            <w:tcW w:w="204" w:type="pct"/>
            <w:vMerge/>
            <w:shd w:val="clear" w:color="auto" w:fill="auto"/>
            <w:vAlign w:val="center"/>
            <w:hideMark/>
          </w:tcPr>
          <w:p w14:paraId="60B898B7" w14:textId="77777777" w:rsidR="00B74F04" w:rsidRPr="000D03B4" w:rsidRDefault="00B74F04"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4C78AD6" w14:textId="77777777" w:rsidR="00B74F04" w:rsidRPr="000D03B4" w:rsidRDefault="00B74F04"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625EBDE"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1.2.3</w:t>
            </w:r>
          </w:p>
        </w:tc>
        <w:tc>
          <w:tcPr>
            <w:tcW w:w="1258" w:type="pct"/>
            <w:shd w:val="clear" w:color="auto" w:fill="auto"/>
            <w:noWrap/>
            <w:vAlign w:val="center"/>
            <w:hideMark/>
          </w:tcPr>
          <w:p w14:paraId="47D658FF" w14:textId="77777777" w:rsidR="00B74F04" w:rsidRPr="000D03B4" w:rsidRDefault="00B74F04" w:rsidP="00A745DB">
            <w:pPr>
              <w:widowControl/>
              <w:adjustRightInd w:val="0"/>
              <w:snapToGrid w:val="0"/>
              <w:rPr>
                <w:rFonts w:eastAsiaTheme="majorEastAsia"/>
                <w:kern w:val="0"/>
                <w:sz w:val="18"/>
                <w:szCs w:val="18"/>
              </w:rPr>
            </w:pPr>
            <w:r w:rsidRPr="000D03B4">
              <w:rPr>
                <w:rFonts w:eastAsiaTheme="majorEastAsia"/>
                <w:kern w:val="0"/>
                <w:sz w:val="18"/>
                <w:szCs w:val="18"/>
              </w:rPr>
              <w:t>国有控股混合所有制企业员工入股价格确定</w:t>
            </w:r>
          </w:p>
        </w:tc>
        <w:tc>
          <w:tcPr>
            <w:tcW w:w="2478" w:type="pct"/>
            <w:vMerge/>
            <w:shd w:val="clear" w:color="auto" w:fill="auto"/>
            <w:vAlign w:val="center"/>
            <w:hideMark/>
          </w:tcPr>
          <w:p w14:paraId="05211511" w14:textId="77777777" w:rsidR="00B74F04" w:rsidRPr="000D03B4" w:rsidRDefault="00B74F04" w:rsidP="00264E2B">
            <w:pPr>
              <w:widowControl/>
              <w:adjustRightInd w:val="0"/>
              <w:snapToGrid w:val="0"/>
              <w:jc w:val="left"/>
              <w:rPr>
                <w:rFonts w:eastAsiaTheme="majorEastAsia"/>
                <w:kern w:val="0"/>
                <w:sz w:val="18"/>
                <w:szCs w:val="18"/>
              </w:rPr>
            </w:pPr>
          </w:p>
        </w:tc>
      </w:tr>
      <w:tr w:rsidR="00B74F04" w:rsidRPr="000D03B4" w14:paraId="3744181E" w14:textId="77777777" w:rsidTr="00DE61FF">
        <w:trPr>
          <w:gridAfter w:val="1"/>
          <w:wAfter w:w="16" w:type="pct"/>
          <w:trHeight w:val="283"/>
        </w:trPr>
        <w:tc>
          <w:tcPr>
            <w:tcW w:w="242" w:type="pct"/>
            <w:shd w:val="clear" w:color="auto" w:fill="auto"/>
            <w:noWrap/>
            <w:vAlign w:val="center"/>
            <w:hideMark/>
          </w:tcPr>
          <w:p w14:paraId="5341C44B"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N28</w:t>
            </w:r>
          </w:p>
        </w:tc>
        <w:tc>
          <w:tcPr>
            <w:tcW w:w="204" w:type="pct"/>
            <w:vMerge/>
            <w:shd w:val="clear" w:color="auto" w:fill="auto"/>
            <w:vAlign w:val="center"/>
            <w:hideMark/>
          </w:tcPr>
          <w:p w14:paraId="3082A64B" w14:textId="77777777" w:rsidR="00B74F04" w:rsidRPr="000D03B4" w:rsidRDefault="00B74F04"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1F324E3C" w14:textId="77777777" w:rsidR="00B74F04" w:rsidRPr="000D03B4" w:rsidRDefault="00B74F04"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7F0161B"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1.2.4</w:t>
            </w:r>
          </w:p>
        </w:tc>
        <w:tc>
          <w:tcPr>
            <w:tcW w:w="1258" w:type="pct"/>
            <w:shd w:val="clear" w:color="auto" w:fill="auto"/>
            <w:noWrap/>
            <w:vAlign w:val="center"/>
            <w:hideMark/>
          </w:tcPr>
          <w:p w14:paraId="008D0080" w14:textId="77777777" w:rsidR="00B74F04" w:rsidRPr="000D03B4" w:rsidRDefault="00B74F04" w:rsidP="00A745DB">
            <w:pPr>
              <w:widowControl/>
              <w:adjustRightInd w:val="0"/>
              <w:snapToGrid w:val="0"/>
              <w:rPr>
                <w:rFonts w:eastAsiaTheme="majorEastAsia"/>
                <w:kern w:val="0"/>
                <w:sz w:val="18"/>
                <w:szCs w:val="18"/>
              </w:rPr>
            </w:pPr>
            <w:r w:rsidRPr="000D03B4">
              <w:rPr>
                <w:rFonts w:eastAsiaTheme="majorEastAsia"/>
                <w:kern w:val="0"/>
                <w:sz w:val="18"/>
                <w:szCs w:val="18"/>
              </w:rPr>
              <w:t>国有科技型企业股权出售</w:t>
            </w:r>
          </w:p>
        </w:tc>
        <w:tc>
          <w:tcPr>
            <w:tcW w:w="2478" w:type="pct"/>
            <w:vMerge w:val="restart"/>
            <w:shd w:val="clear" w:color="auto" w:fill="auto"/>
            <w:vAlign w:val="center"/>
            <w:hideMark/>
          </w:tcPr>
          <w:p w14:paraId="3C58D730" w14:textId="0D8F9E59" w:rsidR="00B74F04" w:rsidRPr="000D03B4" w:rsidRDefault="00365357" w:rsidP="00264E2B">
            <w:pPr>
              <w:widowControl/>
              <w:adjustRightInd w:val="0"/>
              <w:snapToGrid w:val="0"/>
              <w:jc w:val="left"/>
              <w:rPr>
                <w:rFonts w:eastAsiaTheme="majorEastAsia"/>
                <w:kern w:val="0"/>
                <w:sz w:val="18"/>
                <w:szCs w:val="18"/>
              </w:rPr>
            </w:pPr>
            <w:r w:rsidRPr="000D03B4">
              <w:rPr>
                <w:kern w:val="0"/>
                <w:sz w:val="18"/>
                <w:szCs w:val="18"/>
              </w:rPr>
              <w:t>（</w:t>
            </w:r>
            <w:r w:rsidR="0057640D" w:rsidRPr="000D03B4">
              <w:rPr>
                <w:kern w:val="0"/>
                <w:sz w:val="18"/>
                <w:szCs w:val="18"/>
              </w:rPr>
              <w:t>1</w:t>
            </w:r>
            <w:r w:rsidRPr="000D03B4">
              <w:rPr>
                <w:kern w:val="0"/>
                <w:sz w:val="18"/>
                <w:szCs w:val="18"/>
              </w:rPr>
              <w:t>）</w:t>
            </w:r>
            <w:r w:rsidR="00B74F04" w:rsidRPr="000D03B4">
              <w:rPr>
                <w:rFonts w:eastAsiaTheme="majorEastAsia"/>
                <w:kern w:val="0"/>
                <w:sz w:val="18"/>
                <w:szCs w:val="18"/>
              </w:rPr>
              <w:t>《国有科技型企业股权和分红激励暂行办法》（财资〔</w:t>
            </w:r>
            <w:r w:rsidR="00B74F04" w:rsidRPr="000D03B4">
              <w:rPr>
                <w:rFonts w:eastAsiaTheme="majorEastAsia"/>
                <w:kern w:val="0"/>
                <w:sz w:val="18"/>
                <w:szCs w:val="18"/>
              </w:rPr>
              <w:t>2016</w:t>
            </w:r>
            <w:r w:rsidR="00B74F04" w:rsidRPr="000D03B4">
              <w:rPr>
                <w:rFonts w:eastAsiaTheme="majorEastAsia"/>
                <w:kern w:val="0"/>
                <w:sz w:val="18"/>
                <w:szCs w:val="18"/>
              </w:rPr>
              <w:t>〕</w:t>
            </w:r>
            <w:r w:rsidR="00B74F04" w:rsidRPr="000D03B4">
              <w:rPr>
                <w:rFonts w:eastAsiaTheme="majorEastAsia"/>
                <w:kern w:val="0"/>
                <w:sz w:val="18"/>
                <w:szCs w:val="18"/>
              </w:rPr>
              <w:t>4</w:t>
            </w:r>
            <w:r w:rsidR="00B74F04" w:rsidRPr="000D03B4">
              <w:rPr>
                <w:rFonts w:eastAsiaTheme="majorEastAsia"/>
                <w:kern w:val="0"/>
                <w:sz w:val="18"/>
                <w:szCs w:val="18"/>
              </w:rPr>
              <w:t>号）；</w:t>
            </w:r>
            <w:r w:rsidR="00B74F04" w:rsidRPr="000D03B4">
              <w:rPr>
                <w:rFonts w:eastAsiaTheme="majorEastAsia"/>
                <w:kern w:val="0"/>
                <w:sz w:val="18"/>
                <w:szCs w:val="18"/>
              </w:rPr>
              <w:br/>
            </w:r>
            <w:r w:rsidRPr="000D03B4">
              <w:rPr>
                <w:kern w:val="0"/>
                <w:sz w:val="18"/>
                <w:szCs w:val="18"/>
              </w:rPr>
              <w:t>（</w:t>
            </w:r>
            <w:r w:rsidR="0057640D" w:rsidRPr="000D03B4">
              <w:rPr>
                <w:kern w:val="0"/>
                <w:sz w:val="18"/>
                <w:szCs w:val="18"/>
              </w:rPr>
              <w:t>2</w:t>
            </w:r>
            <w:r w:rsidRPr="000D03B4">
              <w:rPr>
                <w:kern w:val="0"/>
                <w:sz w:val="18"/>
                <w:szCs w:val="18"/>
              </w:rPr>
              <w:t>）</w:t>
            </w:r>
            <w:r w:rsidR="00B74F04" w:rsidRPr="000D03B4">
              <w:rPr>
                <w:rFonts w:eastAsiaTheme="majorEastAsia"/>
                <w:kern w:val="0"/>
                <w:sz w:val="18"/>
                <w:szCs w:val="18"/>
              </w:rPr>
              <w:t>《关于做好中央科技型企业股权和分红激励工作的通知》（国</w:t>
            </w:r>
            <w:proofErr w:type="gramStart"/>
            <w:r w:rsidR="00B74F04" w:rsidRPr="000D03B4">
              <w:rPr>
                <w:rFonts w:eastAsiaTheme="majorEastAsia"/>
                <w:kern w:val="0"/>
                <w:sz w:val="18"/>
                <w:szCs w:val="18"/>
              </w:rPr>
              <w:t>资发分配</w:t>
            </w:r>
            <w:proofErr w:type="gramEnd"/>
            <w:r w:rsidR="00B74F04" w:rsidRPr="000D03B4">
              <w:rPr>
                <w:rFonts w:eastAsiaTheme="majorEastAsia"/>
                <w:kern w:val="0"/>
                <w:sz w:val="18"/>
                <w:szCs w:val="18"/>
              </w:rPr>
              <w:t>〔</w:t>
            </w:r>
            <w:r w:rsidR="00B74F04" w:rsidRPr="000D03B4">
              <w:rPr>
                <w:rFonts w:eastAsiaTheme="majorEastAsia"/>
                <w:kern w:val="0"/>
                <w:sz w:val="18"/>
                <w:szCs w:val="18"/>
              </w:rPr>
              <w:t>2016</w:t>
            </w:r>
            <w:r w:rsidR="00B74F04" w:rsidRPr="000D03B4">
              <w:rPr>
                <w:rFonts w:eastAsiaTheme="majorEastAsia"/>
                <w:kern w:val="0"/>
                <w:sz w:val="18"/>
                <w:szCs w:val="18"/>
              </w:rPr>
              <w:t>〕</w:t>
            </w:r>
            <w:r w:rsidR="00B74F04" w:rsidRPr="000D03B4">
              <w:rPr>
                <w:rFonts w:eastAsiaTheme="majorEastAsia"/>
                <w:kern w:val="0"/>
                <w:sz w:val="18"/>
                <w:szCs w:val="18"/>
              </w:rPr>
              <w:t>274</w:t>
            </w:r>
            <w:r w:rsidR="00B74F04" w:rsidRPr="000D03B4">
              <w:rPr>
                <w:rFonts w:eastAsiaTheme="majorEastAsia"/>
                <w:kern w:val="0"/>
                <w:sz w:val="18"/>
                <w:szCs w:val="18"/>
              </w:rPr>
              <w:t>号）。</w:t>
            </w:r>
          </w:p>
        </w:tc>
      </w:tr>
      <w:tr w:rsidR="00B74F04" w:rsidRPr="000D03B4" w14:paraId="361B6CF5" w14:textId="77777777" w:rsidTr="00DE61FF">
        <w:trPr>
          <w:gridAfter w:val="1"/>
          <w:wAfter w:w="16" w:type="pct"/>
          <w:trHeight w:val="283"/>
        </w:trPr>
        <w:tc>
          <w:tcPr>
            <w:tcW w:w="242" w:type="pct"/>
            <w:shd w:val="clear" w:color="auto" w:fill="auto"/>
            <w:noWrap/>
            <w:vAlign w:val="center"/>
            <w:hideMark/>
          </w:tcPr>
          <w:p w14:paraId="4A5E075F"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N29</w:t>
            </w:r>
          </w:p>
        </w:tc>
        <w:tc>
          <w:tcPr>
            <w:tcW w:w="204" w:type="pct"/>
            <w:vMerge/>
            <w:shd w:val="clear" w:color="auto" w:fill="auto"/>
            <w:vAlign w:val="center"/>
            <w:hideMark/>
          </w:tcPr>
          <w:p w14:paraId="01AC85F1" w14:textId="77777777" w:rsidR="00B74F04" w:rsidRPr="000D03B4" w:rsidRDefault="00B74F04"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529B0DF2" w14:textId="77777777" w:rsidR="00B74F04" w:rsidRPr="000D03B4" w:rsidRDefault="00B74F04"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172DAE1"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1.2.5</w:t>
            </w:r>
          </w:p>
        </w:tc>
        <w:tc>
          <w:tcPr>
            <w:tcW w:w="1258" w:type="pct"/>
            <w:shd w:val="clear" w:color="auto" w:fill="auto"/>
            <w:noWrap/>
            <w:vAlign w:val="center"/>
            <w:hideMark/>
          </w:tcPr>
          <w:p w14:paraId="4E43ABAD" w14:textId="77777777" w:rsidR="00B74F04" w:rsidRPr="000D03B4" w:rsidRDefault="00B74F04" w:rsidP="00A745DB">
            <w:pPr>
              <w:widowControl/>
              <w:adjustRightInd w:val="0"/>
              <w:snapToGrid w:val="0"/>
              <w:rPr>
                <w:rFonts w:eastAsiaTheme="majorEastAsia"/>
                <w:kern w:val="0"/>
                <w:sz w:val="18"/>
                <w:szCs w:val="18"/>
              </w:rPr>
            </w:pPr>
            <w:r w:rsidRPr="000D03B4">
              <w:rPr>
                <w:rFonts w:eastAsiaTheme="majorEastAsia"/>
                <w:kern w:val="0"/>
                <w:sz w:val="18"/>
                <w:szCs w:val="18"/>
              </w:rPr>
              <w:t>国有科技型企业用于股权奖励的激励额折合股权确定</w:t>
            </w:r>
          </w:p>
        </w:tc>
        <w:tc>
          <w:tcPr>
            <w:tcW w:w="2478" w:type="pct"/>
            <w:vMerge/>
            <w:shd w:val="clear" w:color="auto" w:fill="auto"/>
            <w:vAlign w:val="center"/>
            <w:hideMark/>
          </w:tcPr>
          <w:p w14:paraId="151DDFB2" w14:textId="77777777" w:rsidR="00B74F04" w:rsidRPr="000D03B4" w:rsidRDefault="00B74F04" w:rsidP="00264E2B">
            <w:pPr>
              <w:widowControl/>
              <w:adjustRightInd w:val="0"/>
              <w:snapToGrid w:val="0"/>
              <w:jc w:val="left"/>
              <w:rPr>
                <w:rFonts w:eastAsiaTheme="majorEastAsia"/>
                <w:kern w:val="0"/>
                <w:sz w:val="18"/>
                <w:szCs w:val="18"/>
              </w:rPr>
            </w:pPr>
          </w:p>
        </w:tc>
      </w:tr>
      <w:tr w:rsidR="00B74F04" w:rsidRPr="000D03B4" w14:paraId="5BF81594" w14:textId="77777777" w:rsidTr="00DE61FF">
        <w:trPr>
          <w:gridAfter w:val="1"/>
          <w:wAfter w:w="16" w:type="pct"/>
          <w:trHeight w:val="283"/>
        </w:trPr>
        <w:tc>
          <w:tcPr>
            <w:tcW w:w="242" w:type="pct"/>
            <w:shd w:val="clear" w:color="auto" w:fill="auto"/>
            <w:noWrap/>
            <w:vAlign w:val="center"/>
            <w:hideMark/>
          </w:tcPr>
          <w:p w14:paraId="552FBCCF"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N30</w:t>
            </w:r>
          </w:p>
        </w:tc>
        <w:tc>
          <w:tcPr>
            <w:tcW w:w="204" w:type="pct"/>
            <w:vMerge/>
            <w:shd w:val="clear" w:color="auto" w:fill="auto"/>
            <w:vAlign w:val="center"/>
            <w:hideMark/>
          </w:tcPr>
          <w:p w14:paraId="60E355DD" w14:textId="77777777" w:rsidR="00B74F04" w:rsidRPr="000D03B4" w:rsidRDefault="00B74F04"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0C61F06E" w14:textId="77777777" w:rsidR="00B74F04" w:rsidRPr="000D03B4" w:rsidRDefault="00B74F04"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4516A14"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1.2.6</w:t>
            </w:r>
          </w:p>
        </w:tc>
        <w:tc>
          <w:tcPr>
            <w:tcW w:w="1258" w:type="pct"/>
            <w:shd w:val="clear" w:color="auto" w:fill="auto"/>
            <w:noWrap/>
            <w:vAlign w:val="center"/>
            <w:hideMark/>
          </w:tcPr>
          <w:p w14:paraId="625F4AFE" w14:textId="77777777" w:rsidR="00B74F04" w:rsidRPr="000D03B4" w:rsidRDefault="00B74F04" w:rsidP="00A745DB">
            <w:pPr>
              <w:widowControl/>
              <w:adjustRightInd w:val="0"/>
              <w:snapToGrid w:val="0"/>
              <w:rPr>
                <w:rFonts w:eastAsiaTheme="majorEastAsia"/>
                <w:kern w:val="0"/>
                <w:sz w:val="18"/>
                <w:szCs w:val="18"/>
              </w:rPr>
            </w:pPr>
            <w:r w:rsidRPr="000D03B4">
              <w:rPr>
                <w:rFonts w:eastAsiaTheme="majorEastAsia"/>
                <w:kern w:val="0"/>
                <w:sz w:val="18"/>
                <w:szCs w:val="18"/>
              </w:rPr>
              <w:t>中央企业及其所有的科技型企业股权出售</w:t>
            </w:r>
          </w:p>
        </w:tc>
        <w:tc>
          <w:tcPr>
            <w:tcW w:w="2478" w:type="pct"/>
            <w:vMerge/>
            <w:shd w:val="clear" w:color="auto" w:fill="auto"/>
            <w:vAlign w:val="center"/>
            <w:hideMark/>
          </w:tcPr>
          <w:p w14:paraId="7CCCE848" w14:textId="77777777" w:rsidR="00B74F04" w:rsidRPr="000D03B4" w:rsidRDefault="00B74F04" w:rsidP="00264E2B">
            <w:pPr>
              <w:widowControl/>
              <w:adjustRightInd w:val="0"/>
              <w:snapToGrid w:val="0"/>
              <w:jc w:val="left"/>
              <w:rPr>
                <w:rFonts w:eastAsiaTheme="majorEastAsia"/>
                <w:kern w:val="0"/>
                <w:sz w:val="18"/>
                <w:szCs w:val="18"/>
              </w:rPr>
            </w:pPr>
          </w:p>
        </w:tc>
      </w:tr>
      <w:tr w:rsidR="00B74F04" w:rsidRPr="000D03B4" w14:paraId="32228997" w14:textId="77777777" w:rsidTr="00DE61FF">
        <w:trPr>
          <w:gridAfter w:val="1"/>
          <w:wAfter w:w="16" w:type="pct"/>
          <w:trHeight w:val="283"/>
        </w:trPr>
        <w:tc>
          <w:tcPr>
            <w:tcW w:w="242" w:type="pct"/>
            <w:shd w:val="clear" w:color="auto" w:fill="auto"/>
            <w:noWrap/>
            <w:vAlign w:val="center"/>
            <w:hideMark/>
          </w:tcPr>
          <w:p w14:paraId="5760BF88"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N31</w:t>
            </w:r>
          </w:p>
        </w:tc>
        <w:tc>
          <w:tcPr>
            <w:tcW w:w="204" w:type="pct"/>
            <w:vMerge/>
            <w:shd w:val="clear" w:color="auto" w:fill="auto"/>
            <w:vAlign w:val="center"/>
            <w:hideMark/>
          </w:tcPr>
          <w:p w14:paraId="7002F01D" w14:textId="77777777" w:rsidR="00B74F04" w:rsidRPr="000D03B4" w:rsidRDefault="00B74F04"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BC27CAD" w14:textId="77777777" w:rsidR="00B74F04" w:rsidRPr="000D03B4" w:rsidRDefault="00B74F04"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F35C128"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1.2.7</w:t>
            </w:r>
          </w:p>
        </w:tc>
        <w:tc>
          <w:tcPr>
            <w:tcW w:w="1258" w:type="pct"/>
            <w:shd w:val="clear" w:color="auto" w:fill="auto"/>
            <w:noWrap/>
            <w:vAlign w:val="center"/>
            <w:hideMark/>
          </w:tcPr>
          <w:p w14:paraId="3C3FD9DF" w14:textId="77777777" w:rsidR="00B74F04" w:rsidRPr="000D03B4" w:rsidRDefault="00B74F04" w:rsidP="00A745DB">
            <w:pPr>
              <w:widowControl/>
              <w:adjustRightInd w:val="0"/>
              <w:snapToGrid w:val="0"/>
              <w:rPr>
                <w:rFonts w:eastAsiaTheme="majorEastAsia"/>
                <w:kern w:val="0"/>
                <w:sz w:val="18"/>
                <w:szCs w:val="18"/>
              </w:rPr>
            </w:pPr>
            <w:r w:rsidRPr="000D03B4">
              <w:rPr>
                <w:rFonts w:eastAsiaTheme="majorEastAsia"/>
                <w:kern w:val="0"/>
                <w:sz w:val="18"/>
                <w:szCs w:val="18"/>
              </w:rPr>
              <w:t>中央企业及其所有的科技型企业股权奖励</w:t>
            </w:r>
          </w:p>
        </w:tc>
        <w:tc>
          <w:tcPr>
            <w:tcW w:w="2478" w:type="pct"/>
            <w:vMerge/>
            <w:shd w:val="clear" w:color="auto" w:fill="auto"/>
            <w:vAlign w:val="center"/>
            <w:hideMark/>
          </w:tcPr>
          <w:p w14:paraId="78961EA5" w14:textId="77777777" w:rsidR="00B74F04" w:rsidRPr="000D03B4" w:rsidRDefault="00B74F04" w:rsidP="00264E2B">
            <w:pPr>
              <w:widowControl/>
              <w:adjustRightInd w:val="0"/>
              <w:snapToGrid w:val="0"/>
              <w:jc w:val="left"/>
              <w:rPr>
                <w:rFonts w:eastAsiaTheme="majorEastAsia"/>
                <w:kern w:val="0"/>
                <w:sz w:val="18"/>
                <w:szCs w:val="18"/>
              </w:rPr>
            </w:pPr>
          </w:p>
        </w:tc>
      </w:tr>
      <w:tr w:rsidR="00B74F04" w:rsidRPr="000D03B4" w14:paraId="2F93828C" w14:textId="77777777" w:rsidTr="00DE61FF">
        <w:trPr>
          <w:gridAfter w:val="1"/>
          <w:wAfter w:w="16" w:type="pct"/>
          <w:trHeight w:val="283"/>
        </w:trPr>
        <w:tc>
          <w:tcPr>
            <w:tcW w:w="242" w:type="pct"/>
            <w:shd w:val="clear" w:color="auto" w:fill="auto"/>
            <w:noWrap/>
            <w:vAlign w:val="center"/>
            <w:hideMark/>
          </w:tcPr>
          <w:p w14:paraId="7205440A"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N32</w:t>
            </w:r>
          </w:p>
        </w:tc>
        <w:tc>
          <w:tcPr>
            <w:tcW w:w="204" w:type="pct"/>
            <w:vMerge/>
            <w:shd w:val="clear" w:color="auto" w:fill="auto"/>
            <w:vAlign w:val="center"/>
            <w:hideMark/>
          </w:tcPr>
          <w:p w14:paraId="37BBF74A" w14:textId="77777777" w:rsidR="00B74F04" w:rsidRPr="000D03B4" w:rsidRDefault="00B74F04"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10AB5D6" w14:textId="77777777" w:rsidR="00B74F04" w:rsidRPr="000D03B4" w:rsidRDefault="00B74F04"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2EEB86B"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1.2.8</w:t>
            </w:r>
          </w:p>
        </w:tc>
        <w:tc>
          <w:tcPr>
            <w:tcW w:w="1258" w:type="pct"/>
            <w:shd w:val="clear" w:color="auto" w:fill="auto"/>
            <w:noWrap/>
            <w:vAlign w:val="center"/>
            <w:hideMark/>
          </w:tcPr>
          <w:p w14:paraId="2B25CD5E" w14:textId="77777777" w:rsidR="00B74F04" w:rsidRPr="000D03B4" w:rsidRDefault="00B74F04" w:rsidP="00A745DB">
            <w:pPr>
              <w:widowControl/>
              <w:adjustRightInd w:val="0"/>
              <w:snapToGrid w:val="0"/>
              <w:rPr>
                <w:rFonts w:eastAsiaTheme="majorEastAsia"/>
                <w:kern w:val="0"/>
                <w:sz w:val="18"/>
                <w:szCs w:val="18"/>
              </w:rPr>
            </w:pPr>
            <w:r w:rsidRPr="000D03B4">
              <w:rPr>
                <w:rFonts w:eastAsiaTheme="majorEastAsia"/>
                <w:kern w:val="0"/>
                <w:sz w:val="18"/>
                <w:szCs w:val="18"/>
              </w:rPr>
              <w:t>“</w:t>
            </w:r>
            <w:r w:rsidRPr="000D03B4">
              <w:rPr>
                <w:rFonts w:eastAsiaTheme="majorEastAsia"/>
                <w:kern w:val="0"/>
                <w:sz w:val="18"/>
                <w:szCs w:val="18"/>
              </w:rPr>
              <w:t>僵尸企业</w:t>
            </w:r>
            <w:r w:rsidRPr="000D03B4">
              <w:rPr>
                <w:rFonts w:eastAsiaTheme="majorEastAsia"/>
                <w:kern w:val="0"/>
                <w:sz w:val="18"/>
                <w:szCs w:val="18"/>
              </w:rPr>
              <w:t>”</w:t>
            </w:r>
            <w:r w:rsidRPr="000D03B4">
              <w:rPr>
                <w:rFonts w:eastAsiaTheme="majorEastAsia"/>
                <w:kern w:val="0"/>
                <w:sz w:val="18"/>
                <w:szCs w:val="18"/>
              </w:rPr>
              <w:t>处置</w:t>
            </w:r>
          </w:p>
        </w:tc>
        <w:tc>
          <w:tcPr>
            <w:tcW w:w="2478" w:type="pct"/>
            <w:vMerge w:val="restart"/>
            <w:shd w:val="clear" w:color="auto" w:fill="auto"/>
            <w:vAlign w:val="center"/>
            <w:hideMark/>
          </w:tcPr>
          <w:p w14:paraId="64446996" w14:textId="59BA7E0B" w:rsidR="00B74F04" w:rsidRPr="000D03B4" w:rsidRDefault="00365357" w:rsidP="00264E2B">
            <w:pPr>
              <w:widowControl/>
              <w:adjustRightInd w:val="0"/>
              <w:snapToGrid w:val="0"/>
              <w:jc w:val="left"/>
              <w:rPr>
                <w:rFonts w:eastAsiaTheme="majorEastAsia"/>
                <w:kern w:val="0"/>
                <w:sz w:val="18"/>
                <w:szCs w:val="18"/>
              </w:rPr>
            </w:pPr>
            <w:r w:rsidRPr="000D03B4">
              <w:rPr>
                <w:kern w:val="0"/>
                <w:sz w:val="18"/>
                <w:szCs w:val="18"/>
              </w:rPr>
              <w:t>（</w:t>
            </w:r>
            <w:r w:rsidR="0057640D" w:rsidRPr="000D03B4">
              <w:rPr>
                <w:kern w:val="0"/>
                <w:sz w:val="18"/>
                <w:szCs w:val="18"/>
              </w:rPr>
              <w:t>1</w:t>
            </w:r>
            <w:r w:rsidRPr="000D03B4">
              <w:rPr>
                <w:kern w:val="0"/>
                <w:sz w:val="18"/>
                <w:szCs w:val="18"/>
              </w:rPr>
              <w:t>）</w:t>
            </w:r>
            <w:r w:rsidR="00B74F04" w:rsidRPr="000D03B4">
              <w:rPr>
                <w:rFonts w:eastAsiaTheme="majorEastAsia"/>
                <w:kern w:val="0"/>
                <w:sz w:val="18"/>
                <w:szCs w:val="18"/>
              </w:rPr>
              <w:t>《关于化解产能严重过剩矛盾的指导意见》（国发〔</w:t>
            </w:r>
            <w:r w:rsidR="00B74F04" w:rsidRPr="000D03B4">
              <w:rPr>
                <w:rFonts w:eastAsiaTheme="majorEastAsia"/>
                <w:kern w:val="0"/>
                <w:sz w:val="18"/>
                <w:szCs w:val="18"/>
              </w:rPr>
              <w:t>2013</w:t>
            </w:r>
            <w:r w:rsidR="00B74F04" w:rsidRPr="000D03B4">
              <w:rPr>
                <w:rFonts w:eastAsiaTheme="majorEastAsia"/>
                <w:kern w:val="0"/>
                <w:sz w:val="18"/>
                <w:szCs w:val="18"/>
              </w:rPr>
              <w:t>〕</w:t>
            </w:r>
            <w:r w:rsidR="00B74F04" w:rsidRPr="000D03B4">
              <w:rPr>
                <w:rFonts w:eastAsiaTheme="majorEastAsia"/>
                <w:kern w:val="0"/>
                <w:sz w:val="18"/>
                <w:szCs w:val="18"/>
              </w:rPr>
              <w:t>41</w:t>
            </w:r>
            <w:r w:rsidR="00B74F04" w:rsidRPr="000D03B4">
              <w:rPr>
                <w:rFonts w:eastAsiaTheme="majorEastAsia"/>
                <w:kern w:val="0"/>
                <w:sz w:val="18"/>
                <w:szCs w:val="18"/>
              </w:rPr>
              <w:t>号）；</w:t>
            </w:r>
            <w:r w:rsidR="00B74F04" w:rsidRPr="000D03B4">
              <w:rPr>
                <w:rFonts w:eastAsiaTheme="majorEastAsia"/>
                <w:kern w:val="0"/>
                <w:sz w:val="18"/>
                <w:szCs w:val="18"/>
              </w:rPr>
              <w:br/>
            </w:r>
            <w:r w:rsidRPr="000D03B4">
              <w:rPr>
                <w:kern w:val="0"/>
                <w:sz w:val="18"/>
                <w:szCs w:val="18"/>
              </w:rPr>
              <w:t>（</w:t>
            </w:r>
            <w:r w:rsidR="0057640D" w:rsidRPr="000D03B4">
              <w:rPr>
                <w:kern w:val="0"/>
                <w:sz w:val="18"/>
                <w:szCs w:val="18"/>
              </w:rPr>
              <w:t>2</w:t>
            </w:r>
            <w:r w:rsidRPr="000D03B4">
              <w:rPr>
                <w:kern w:val="0"/>
                <w:sz w:val="18"/>
                <w:szCs w:val="18"/>
              </w:rPr>
              <w:t>）</w:t>
            </w:r>
            <w:r w:rsidR="00B74F04" w:rsidRPr="000D03B4">
              <w:rPr>
                <w:rFonts w:eastAsiaTheme="majorEastAsia"/>
                <w:kern w:val="0"/>
                <w:sz w:val="18"/>
                <w:szCs w:val="18"/>
              </w:rPr>
              <w:t>《关于做好</w:t>
            </w:r>
            <w:r w:rsidR="00B74F04" w:rsidRPr="000D03B4">
              <w:rPr>
                <w:rFonts w:eastAsiaTheme="majorEastAsia"/>
                <w:kern w:val="0"/>
                <w:sz w:val="18"/>
                <w:szCs w:val="18"/>
              </w:rPr>
              <w:t>2018</w:t>
            </w:r>
            <w:r w:rsidR="00B74F04" w:rsidRPr="000D03B4">
              <w:rPr>
                <w:rFonts w:eastAsiaTheme="majorEastAsia"/>
                <w:kern w:val="0"/>
                <w:sz w:val="18"/>
                <w:szCs w:val="18"/>
              </w:rPr>
              <w:t>年重点领域化解过剩产能工作的通知》（</w:t>
            </w:r>
            <w:proofErr w:type="gramStart"/>
            <w:r w:rsidR="00B74F04" w:rsidRPr="000D03B4">
              <w:rPr>
                <w:rFonts w:eastAsiaTheme="majorEastAsia"/>
                <w:kern w:val="0"/>
                <w:sz w:val="18"/>
                <w:szCs w:val="18"/>
              </w:rPr>
              <w:t>发改运行</w:t>
            </w:r>
            <w:proofErr w:type="gramEnd"/>
            <w:r w:rsidR="00B74F04" w:rsidRPr="000D03B4">
              <w:rPr>
                <w:rFonts w:eastAsiaTheme="majorEastAsia"/>
                <w:kern w:val="0"/>
                <w:sz w:val="18"/>
                <w:szCs w:val="18"/>
              </w:rPr>
              <w:t>〔</w:t>
            </w:r>
            <w:r w:rsidR="00B74F04" w:rsidRPr="000D03B4">
              <w:rPr>
                <w:rFonts w:eastAsiaTheme="majorEastAsia"/>
                <w:kern w:val="0"/>
                <w:sz w:val="18"/>
                <w:szCs w:val="18"/>
              </w:rPr>
              <w:t>2018</w:t>
            </w:r>
            <w:r w:rsidR="00B74F04" w:rsidRPr="000D03B4">
              <w:rPr>
                <w:rFonts w:eastAsiaTheme="majorEastAsia"/>
                <w:kern w:val="0"/>
                <w:sz w:val="18"/>
                <w:szCs w:val="18"/>
              </w:rPr>
              <w:t>〕</w:t>
            </w:r>
            <w:r w:rsidR="00B74F04" w:rsidRPr="000D03B4">
              <w:rPr>
                <w:rFonts w:eastAsiaTheme="majorEastAsia"/>
                <w:kern w:val="0"/>
                <w:sz w:val="18"/>
                <w:szCs w:val="18"/>
              </w:rPr>
              <w:t>554</w:t>
            </w:r>
            <w:r w:rsidR="00B74F04" w:rsidRPr="000D03B4">
              <w:rPr>
                <w:rFonts w:eastAsiaTheme="majorEastAsia"/>
                <w:kern w:val="0"/>
                <w:sz w:val="18"/>
                <w:szCs w:val="18"/>
              </w:rPr>
              <w:t>号）。</w:t>
            </w:r>
          </w:p>
        </w:tc>
      </w:tr>
      <w:tr w:rsidR="00B74F04" w:rsidRPr="000D03B4" w14:paraId="76593403" w14:textId="77777777" w:rsidTr="00DE61FF">
        <w:trPr>
          <w:gridAfter w:val="1"/>
          <w:wAfter w:w="16" w:type="pct"/>
          <w:trHeight w:val="283"/>
        </w:trPr>
        <w:tc>
          <w:tcPr>
            <w:tcW w:w="242" w:type="pct"/>
            <w:shd w:val="clear" w:color="auto" w:fill="auto"/>
            <w:noWrap/>
            <w:vAlign w:val="center"/>
            <w:hideMark/>
          </w:tcPr>
          <w:p w14:paraId="490413A5"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N33</w:t>
            </w:r>
          </w:p>
        </w:tc>
        <w:tc>
          <w:tcPr>
            <w:tcW w:w="204" w:type="pct"/>
            <w:vMerge/>
            <w:shd w:val="clear" w:color="auto" w:fill="auto"/>
            <w:vAlign w:val="center"/>
            <w:hideMark/>
          </w:tcPr>
          <w:p w14:paraId="0D928B34" w14:textId="77777777" w:rsidR="00B74F04" w:rsidRPr="000D03B4" w:rsidRDefault="00B74F04"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9F30A7B" w14:textId="77777777" w:rsidR="00B74F04" w:rsidRPr="000D03B4" w:rsidRDefault="00B74F04"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BE5DA31"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1.2.9</w:t>
            </w:r>
          </w:p>
        </w:tc>
        <w:tc>
          <w:tcPr>
            <w:tcW w:w="1258" w:type="pct"/>
            <w:shd w:val="clear" w:color="auto" w:fill="auto"/>
            <w:noWrap/>
            <w:vAlign w:val="center"/>
            <w:hideMark/>
          </w:tcPr>
          <w:p w14:paraId="0BF0448C" w14:textId="77777777" w:rsidR="00B74F04" w:rsidRPr="000D03B4" w:rsidRDefault="00B74F04" w:rsidP="00A745DB">
            <w:pPr>
              <w:widowControl/>
              <w:adjustRightInd w:val="0"/>
              <w:snapToGrid w:val="0"/>
              <w:rPr>
                <w:rFonts w:eastAsiaTheme="majorEastAsia"/>
                <w:kern w:val="0"/>
                <w:sz w:val="18"/>
                <w:szCs w:val="18"/>
              </w:rPr>
            </w:pPr>
            <w:r w:rsidRPr="000D03B4">
              <w:rPr>
                <w:rFonts w:eastAsiaTheme="majorEastAsia"/>
                <w:kern w:val="0"/>
                <w:sz w:val="18"/>
                <w:szCs w:val="18"/>
              </w:rPr>
              <w:t>过剩产能资产处置</w:t>
            </w:r>
          </w:p>
        </w:tc>
        <w:tc>
          <w:tcPr>
            <w:tcW w:w="2478" w:type="pct"/>
            <w:vMerge/>
            <w:shd w:val="clear" w:color="auto" w:fill="auto"/>
            <w:vAlign w:val="center"/>
            <w:hideMark/>
          </w:tcPr>
          <w:p w14:paraId="1B8271EC" w14:textId="77777777" w:rsidR="00B74F04" w:rsidRPr="000D03B4" w:rsidRDefault="00B74F04" w:rsidP="00264E2B">
            <w:pPr>
              <w:widowControl/>
              <w:adjustRightInd w:val="0"/>
              <w:snapToGrid w:val="0"/>
              <w:jc w:val="left"/>
              <w:rPr>
                <w:rFonts w:eastAsiaTheme="majorEastAsia"/>
                <w:kern w:val="0"/>
                <w:sz w:val="18"/>
                <w:szCs w:val="18"/>
              </w:rPr>
            </w:pPr>
          </w:p>
        </w:tc>
      </w:tr>
      <w:tr w:rsidR="00B74F04" w:rsidRPr="000D03B4" w14:paraId="4BC43456" w14:textId="77777777" w:rsidTr="00DE61FF">
        <w:trPr>
          <w:gridAfter w:val="1"/>
          <w:wAfter w:w="16" w:type="pct"/>
          <w:trHeight w:val="283"/>
        </w:trPr>
        <w:tc>
          <w:tcPr>
            <w:tcW w:w="242" w:type="pct"/>
            <w:shd w:val="clear" w:color="auto" w:fill="auto"/>
            <w:noWrap/>
            <w:vAlign w:val="center"/>
            <w:hideMark/>
          </w:tcPr>
          <w:p w14:paraId="572D49A7"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N34</w:t>
            </w:r>
          </w:p>
        </w:tc>
        <w:tc>
          <w:tcPr>
            <w:tcW w:w="204" w:type="pct"/>
            <w:vMerge/>
            <w:shd w:val="clear" w:color="auto" w:fill="auto"/>
            <w:vAlign w:val="center"/>
            <w:hideMark/>
          </w:tcPr>
          <w:p w14:paraId="73C90D87" w14:textId="77777777" w:rsidR="00B74F04" w:rsidRPr="000D03B4" w:rsidRDefault="00B74F04"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0318ED0E" w14:textId="77777777" w:rsidR="00B74F04" w:rsidRPr="000D03B4" w:rsidRDefault="00B74F04"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E4AF30C"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1.2.10</w:t>
            </w:r>
          </w:p>
        </w:tc>
        <w:tc>
          <w:tcPr>
            <w:tcW w:w="1258" w:type="pct"/>
            <w:shd w:val="clear" w:color="auto" w:fill="auto"/>
            <w:noWrap/>
            <w:vAlign w:val="center"/>
            <w:hideMark/>
          </w:tcPr>
          <w:p w14:paraId="4C5AFFB5" w14:textId="77777777" w:rsidR="00B74F04" w:rsidRPr="000D03B4" w:rsidRDefault="00B74F04" w:rsidP="00A745DB">
            <w:pPr>
              <w:widowControl/>
              <w:adjustRightInd w:val="0"/>
              <w:snapToGrid w:val="0"/>
              <w:rPr>
                <w:rFonts w:eastAsiaTheme="majorEastAsia"/>
                <w:kern w:val="0"/>
                <w:sz w:val="18"/>
                <w:szCs w:val="18"/>
              </w:rPr>
            </w:pPr>
            <w:r w:rsidRPr="000D03B4">
              <w:rPr>
                <w:rFonts w:eastAsiaTheme="majorEastAsia"/>
                <w:kern w:val="0"/>
                <w:sz w:val="18"/>
                <w:szCs w:val="18"/>
              </w:rPr>
              <w:t>企业办医疗机构资产转让</w:t>
            </w:r>
          </w:p>
        </w:tc>
        <w:tc>
          <w:tcPr>
            <w:tcW w:w="2478" w:type="pct"/>
            <w:vMerge w:val="restart"/>
            <w:shd w:val="clear" w:color="auto" w:fill="auto"/>
            <w:vAlign w:val="center"/>
            <w:hideMark/>
          </w:tcPr>
          <w:p w14:paraId="5A10A62F" w14:textId="77777777" w:rsidR="00B74F04" w:rsidRPr="000D03B4" w:rsidRDefault="00B74F04"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《关于国有企业办教育医疗机构深化改革的指导意见》（国</w:t>
            </w:r>
            <w:proofErr w:type="gramStart"/>
            <w:r w:rsidRPr="000D03B4">
              <w:rPr>
                <w:rFonts w:eastAsiaTheme="majorEastAsia"/>
                <w:kern w:val="0"/>
                <w:sz w:val="18"/>
                <w:szCs w:val="18"/>
              </w:rPr>
              <w:t>资发改革</w:t>
            </w:r>
            <w:proofErr w:type="gramEnd"/>
            <w:r w:rsidRPr="000D03B4">
              <w:rPr>
                <w:rFonts w:eastAsiaTheme="majorEastAsia"/>
                <w:kern w:val="0"/>
                <w:sz w:val="18"/>
                <w:szCs w:val="18"/>
              </w:rPr>
              <w:t>〔</w:t>
            </w:r>
            <w:r w:rsidRPr="000D03B4">
              <w:rPr>
                <w:rFonts w:eastAsiaTheme="majorEastAsia"/>
                <w:kern w:val="0"/>
                <w:sz w:val="18"/>
                <w:szCs w:val="18"/>
              </w:rPr>
              <w:t>2017</w:t>
            </w:r>
            <w:r w:rsidRPr="000D03B4">
              <w:rPr>
                <w:rFonts w:eastAsiaTheme="majorEastAsia"/>
                <w:kern w:val="0"/>
                <w:sz w:val="18"/>
                <w:szCs w:val="18"/>
              </w:rPr>
              <w:t>〕</w:t>
            </w:r>
            <w:r w:rsidRPr="000D03B4">
              <w:rPr>
                <w:rFonts w:eastAsiaTheme="majorEastAsia"/>
                <w:kern w:val="0"/>
                <w:sz w:val="18"/>
                <w:szCs w:val="18"/>
              </w:rPr>
              <w:t>34</w:t>
            </w:r>
            <w:r w:rsidRPr="000D03B4">
              <w:rPr>
                <w:rFonts w:eastAsiaTheme="majorEastAsia"/>
                <w:kern w:val="0"/>
                <w:sz w:val="18"/>
                <w:szCs w:val="18"/>
              </w:rPr>
              <w:t>号）</w:t>
            </w:r>
          </w:p>
        </w:tc>
      </w:tr>
      <w:tr w:rsidR="00B74F04" w:rsidRPr="000D03B4" w14:paraId="77A347BE" w14:textId="77777777" w:rsidTr="00DE61FF">
        <w:trPr>
          <w:gridAfter w:val="1"/>
          <w:wAfter w:w="16" w:type="pct"/>
          <w:trHeight w:val="283"/>
        </w:trPr>
        <w:tc>
          <w:tcPr>
            <w:tcW w:w="242" w:type="pct"/>
            <w:shd w:val="clear" w:color="auto" w:fill="auto"/>
            <w:noWrap/>
            <w:vAlign w:val="center"/>
            <w:hideMark/>
          </w:tcPr>
          <w:p w14:paraId="4118AA39"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N35</w:t>
            </w:r>
          </w:p>
        </w:tc>
        <w:tc>
          <w:tcPr>
            <w:tcW w:w="204" w:type="pct"/>
            <w:vMerge/>
            <w:shd w:val="clear" w:color="auto" w:fill="auto"/>
            <w:vAlign w:val="center"/>
            <w:hideMark/>
          </w:tcPr>
          <w:p w14:paraId="4650FE06" w14:textId="77777777" w:rsidR="00B74F04" w:rsidRPr="000D03B4" w:rsidRDefault="00B74F04"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C2E01C0" w14:textId="77777777" w:rsidR="00B74F04" w:rsidRPr="000D03B4" w:rsidRDefault="00B74F04"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7C05E6DB"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1.2.11</w:t>
            </w:r>
          </w:p>
        </w:tc>
        <w:tc>
          <w:tcPr>
            <w:tcW w:w="1258" w:type="pct"/>
            <w:shd w:val="clear" w:color="auto" w:fill="auto"/>
            <w:noWrap/>
            <w:vAlign w:val="center"/>
            <w:hideMark/>
          </w:tcPr>
          <w:p w14:paraId="09766409" w14:textId="77777777" w:rsidR="00B74F04" w:rsidRPr="000D03B4" w:rsidRDefault="00B74F04" w:rsidP="00A745DB">
            <w:pPr>
              <w:widowControl/>
              <w:adjustRightInd w:val="0"/>
              <w:snapToGrid w:val="0"/>
              <w:rPr>
                <w:rFonts w:eastAsiaTheme="majorEastAsia"/>
                <w:kern w:val="0"/>
                <w:sz w:val="18"/>
                <w:szCs w:val="18"/>
              </w:rPr>
            </w:pPr>
            <w:r w:rsidRPr="000D03B4">
              <w:rPr>
                <w:rFonts w:eastAsiaTheme="majorEastAsia"/>
                <w:kern w:val="0"/>
                <w:sz w:val="18"/>
                <w:szCs w:val="18"/>
              </w:rPr>
              <w:t>企业办医疗机构产权转让</w:t>
            </w:r>
          </w:p>
        </w:tc>
        <w:tc>
          <w:tcPr>
            <w:tcW w:w="2478" w:type="pct"/>
            <w:vMerge/>
            <w:shd w:val="clear" w:color="auto" w:fill="auto"/>
            <w:vAlign w:val="center"/>
            <w:hideMark/>
          </w:tcPr>
          <w:p w14:paraId="1DE86624" w14:textId="77777777" w:rsidR="00B74F04" w:rsidRPr="000D03B4" w:rsidRDefault="00B74F04" w:rsidP="00264E2B">
            <w:pPr>
              <w:widowControl/>
              <w:adjustRightInd w:val="0"/>
              <w:snapToGrid w:val="0"/>
              <w:jc w:val="left"/>
              <w:rPr>
                <w:rFonts w:eastAsiaTheme="majorEastAsia"/>
                <w:kern w:val="0"/>
                <w:sz w:val="18"/>
                <w:szCs w:val="18"/>
              </w:rPr>
            </w:pPr>
          </w:p>
        </w:tc>
      </w:tr>
      <w:tr w:rsidR="00B74F04" w:rsidRPr="000D03B4" w14:paraId="11651C32" w14:textId="77777777" w:rsidTr="00DE61FF">
        <w:trPr>
          <w:gridAfter w:val="1"/>
          <w:wAfter w:w="16" w:type="pct"/>
          <w:trHeight w:val="283"/>
        </w:trPr>
        <w:tc>
          <w:tcPr>
            <w:tcW w:w="242" w:type="pct"/>
            <w:shd w:val="clear" w:color="auto" w:fill="auto"/>
            <w:noWrap/>
            <w:vAlign w:val="center"/>
            <w:hideMark/>
          </w:tcPr>
          <w:p w14:paraId="4E044DF7"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N36</w:t>
            </w:r>
          </w:p>
        </w:tc>
        <w:tc>
          <w:tcPr>
            <w:tcW w:w="204" w:type="pct"/>
            <w:vMerge/>
            <w:shd w:val="clear" w:color="auto" w:fill="auto"/>
            <w:vAlign w:val="center"/>
            <w:hideMark/>
          </w:tcPr>
          <w:p w14:paraId="46979612" w14:textId="77777777" w:rsidR="00B74F04" w:rsidRPr="000D03B4" w:rsidRDefault="00B74F04"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06504FC" w14:textId="77777777" w:rsidR="00B74F04" w:rsidRPr="000D03B4" w:rsidRDefault="00B74F04"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7E7D0638" w14:textId="77777777" w:rsidR="00B74F04" w:rsidRPr="000D03B4" w:rsidRDefault="00B74F0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1.2.12</w:t>
            </w:r>
          </w:p>
        </w:tc>
        <w:tc>
          <w:tcPr>
            <w:tcW w:w="1258" w:type="pct"/>
            <w:shd w:val="clear" w:color="auto" w:fill="auto"/>
            <w:noWrap/>
            <w:vAlign w:val="center"/>
            <w:hideMark/>
          </w:tcPr>
          <w:p w14:paraId="1D6487E9" w14:textId="77777777" w:rsidR="00B74F04" w:rsidRPr="000D03B4" w:rsidRDefault="00B74F04" w:rsidP="00A745DB">
            <w:pPr>
              <w:widowControl/>
              <w:adjustRightInd w:val="0"/>
              <w:snapToGrid w:val="0"/>
              <w:rPr>
                <w:rFonts w:eastAsiaTheme="majorEastAsia"/>
                <w:kern w:val="0"/>
                <w:sz w:val="18"/>
                <w:szCs w:val="18"/>
              </w:rPr>
            </w:pPr>
            <w:r w:rsidRPr="000D03B4">
              <w:rPr>
                <w:rFonts w:eastAsiaTheme="majorEastAsia"/>
                <w:kern w:val="0"/>
                <w:sz w:val="18"/>
                <w:szCs w:val="18"/>
              </w:rPr>
              <w:t>国有企业职工家属区</w:t>
            </w:r>
            <w:r w:rsidRPr="000D03B4">
              <w:rPr>
                <w:rFonts w:eastAsiaTheme="majorEastAsia"/>
                <w:kern w:val="0"/>
                <w:sz w:val="18"/>
                <w:szCs w:val="18"/>
              </w:rPr>
              <w:t>“</w:t>
            </w:r>
            <w:r w:rsidRPr="000D03B4">
              <w:rPr>
                <w:rFonts w:eastAsiaTheme="majorEastAsia"/>
                <w:kern w:val="0"/>
                <w:sz w:val="18"/>
                <w:szCs w:val="18"/>
              </w:rPr>
              <w:t>三供</w:t>
            </w:r>
            <w:proofErr w:type="gramStart"/>
            <w:r w:rsidRPr="000D03B4">
              <w:rPr>
                <w:rFonts w:eastAsiaTheme="majorEastAsia"/>
                <w:kern w:val="0"/>
                <w:sz w:val="18"/>
                <w:szCs w:val="18"/>
              </w:rPr>
              <w:t>一</w:t>
            </w:r>
            <w:proofErr w:type="gramEnd"/>
            <w:r w:rsidRPr="000D03B4">
              <w:rPr>
                <w:rFonts w:eastAsiaTheme="majorEastAsia"/>
                <w:kern w:val="0"/>
                <w:sz w:val="18"/>
                <w:szCs w:val="18"/>
              </w:rPr>
              <w:t>业</w:t>
            </w:r>
            <w:r w:rsidRPr="000D03B4">
              <w:rPr>
                <w:rFonts w:eastAsiaTheme="majorEastAsia"/>
                <w:kern w:val="0"/>
                <w:sz w:val="18"/>
                <w:szCs w:val="18"/>
              </w:rPr>
              <w:t>”</w:t>
            </w:r>
            <w:r w:rsidRPr="000D03B4">
              <w:rPr>
                <w:rFonts w:eastAsiaTheme="majorEastAsia"/>
                <w:kern w:val="0"/>
                <w:sz w:val="18"/>
                <w:szCs w:val="18"/>
              </w:rPr>
              <w:t>分离移交</w:t>
            </w:r>
          </w:p>
        </w:tc>
        <w:tc>
          <w:tcPr>
            <w:tcW w:w="2478" w:type="pct"/>
            <w:shd w:val="clear" w:color="auto" w:fill="auto"/>
            <w:vAlign w:val="center"/>
            <w:hideMark/>
          </w:tcPr>
          <w:p w14:paraId="34BEA8F9" w14:textId="23BB0B79" w:rsidR="00B74F04" w:rsidRPr="000D03B4" w:rsidRDefault="00B74F04"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《关于国有企业职工家属区</w:t>
            </w:r>
            <w:r w:rsidRPr="000D03B4">
              <w:rPr>
                <w:rFonts w:eastAsiaTheme="majorEastAsia"/>
                <w:kern w:val="0"/>
                <w:sz w:val="18"/>
                <w:szCs w:val="18"/>
              </w:rPr>
              <w:t>“</w:t>
            </w:r>
            <w:r w:rsidRPr="000D03B4">
              <w:rPr>
                <w:rFonts w:eastAsiaTheme="majorEastAsia"/>
                <w:kern w:val="0"/>
                <w:sz w:val="18"/>
                <w:szCs w:val="18"/>
              </w:rPr>
              <w:t>三供一业</w:t>
            </w:r>
            <w:r w:rsidRPr="000D03B4">
              <w:rPr>
                <w:rFonts w:eastAsiaTheme="majorEastAsia"/>
                <w:kern w:val="0"/>
                <w:sz w:val="18"/>
                <w:szCs w:val="18"/>
              </w:rPr>
              <w:t>”</w:t>
            </w:r>
            <w:r w:rsidRPr="000D03B4">
              <w:rPr>
                <w:rFonts w:eastAsiaTheme="majorEastAsia"/>
                <w:kern w:val="0"/>
                <w:sz w:val="18"/>
                <w:szCs w:val="18"/>
              </w:rPr>
              <w:t>分离移交工作的指导意见》（国办发〔</w:t>
            </w:r>
            <w:r w:rsidRPr="000D03B4">
              <w:rPr>
                <w:rFonts w:eastAsiaTheme="majorEastAsia"/>
                <w:kern w:val="0"/>
                <w:sz w:val="18"/>
                <w:szCs w:val="18"/>
              </w:rPr>
              <w:t>2016</w:t>
            </w:r>
            <w:r w:rsidRPr="000D03B4">
              <w:rPr>
                <w:rFonts w:eastAsiaTheme="majorEastAsia"/>
                <w:kern w:val="0"/>
                <w:sz w:val="18"/>
                <w:szCs w:val="18"/>
              </w:rPr>
              <w:t>〕</w:t>
            </w:r>
            <w:r w:rsidRPr="000D03B4">
              <w:rPr>
                <w:rFonts w:eastAsiaTheme="majorEastAsia"/>
                <w:kern w:val="0"/>
                <w:sz w:val="18"/>
                <w:szCs w:val="18"/>
              </w:rPr>
              <w:t>45</w:t>
            </w:r>
            <w:r w:rsidRPr="000D03B4">
              <w:rPr>
                <w:rFonts w:eastAsiaTheme="majorEastAsia"/>
                <w:kern w:val="0"/>
                <w:sz w:val="18"/>
                <w:szCs w:val="18"/>
              </w:rPr>
              <w:t>号）</w:t>
            </w:r>
          </w:p>
        </w:tc>
      </w:tr>
      <w:tr w:rsidR="00B27784" w:rsidRPr="000D03B4" w14:paraId="4CC521C0" w14:textId="77777777" w:rsidTr="00DE61FF">
        <w:trPr>
          <w:gridAfter w:val="1"/>
          <w:wAfter w:w="16" w:type="pct"/>
          <w:trHeight w:val="283"/>
        </w:trPr>
        <w:tc>
          <w:tcPr>
            <w:tcW w:w="242" w:type="pct"/>
            <w:shd w:val="clear" w:color="auto" w:fill="auto"/>
            <w:noWrap/>
            <w:vAlign w:val="center"/>
            <w:hideMark/>
          </w:tcPr>
          <w:p w14:paraId="6EF7656E" w14:textId="77777777" w:rsidR="00B27784" w:rsidRPr="000D03B4" w:rsidRDefault="00B2778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N37</w:t>
            </w:r>
          </w:p>
        </w:tc>
        <w:tc>
          <w:tcPr>
            <w:tcW w:w="204" w:type="pct"/>
            <w:vMerge w:val="restart"/>
            <w:shd w:val="clear" w:color="auto" w:fill="auto"/>
            <w:noWrap/>
            <w:vAlign w:val="center"/>
            <w:hideMark/>
          </w:tcPr>
          <w:p w14:paraId="74262B44" w14:textId="77777777" w:rsidR="00B27784" w:rsidRPr="000D03B4" w:rsidRDefault="00B2778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1.3</w:t>
            </w:r>
          </w:p>
        </w:tc>
        <w:tc>
          <w:tcPr>
            <w:tcW w:w="449" w:type="pct"/>
            <w:vMerge w:val="restart"/>
            <w:shd w:val="clear" w:color="auto" w:fill="auto"/>
            <w:noWrap/>
            <w:vAlign w:val="center"/>
            <w:hideMark/>
          </w:tcPr>
          <w:p w14:paraId="7756C4E3" w14:textId="5DF1EE07" w:rsidR="00B27784" w:rsidRPr="000D03B4" w:rsidRDefault="00AD08B7" w:rsidP="00AD08B7">
            <w:pPr>
              <w:widowControl/>
              <w:adjustRightInd w:val="0"/>
              <w:snapToGrid w:val="0"/>
              <w:jc w:val="center"/>
              <w:rPr>
                <w:rFonts w:eastAsiaTheme="majorEastAsia"/>
                <w:kern w:val="0"/>
                <w:sz w:val="18"/>
                <w:szCs w:val="18"/>
              </w:rPr>
            </w:pPr>
            <w:r w:rsidRPr="000D03B4">
              <w:rPr>
                <w:rFonts w:eastAsiaTheme="majorEastAsia"/>
                <w:kern w:val="0"/>
                <w:sz w:val="18"/>
                <w:szCs w:val="18"/>
              </w:rPr>
              <w:t>国有</w:t>
            </w:r>
            <w:r w:rsidR="00B27784" w:rsidRPr="000D03B4">
              <w:rPr>
                <w:rFonts w:eastAsiaTheme="majorEastAsia"/>
                <w:kern w:val="0"/>
                <w:sz w:val="18"/>
                <w:szCs w:val="18"/>
              </w:rPr>
              <w:t>金融企业</w:t>
            </w:r>
          </w:p>
        </w:tc>
        <w:tc>
          <w:tcPr>
            <w:tcW w:w="353" w:type="pct"/>
            <w:shd w:val="clear" w:color="auto" w:fill="auto"/>
            <w:noWrap/>
            <w:vAlign w:val="center"/>
            <w:hideMark/>
          </w:tcPr>
          <w:p w14:paraId="56CC3BF7" w14:textId="77777777" w:rsidR="00B27784" w:rsidRPr="000D03B4" w:rsidRDefault="00B2778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1.3.1</w:t>
            </w:r>
          </w:p>
        </w:tc>
        <w:tc>
          <w:tcPr>
            <w:tcW w:w="1258" w:type="pct"/>
            <w:shd w:val="clear" w:color="auto" w:fill="auto"/>
            <w:noWrap/>
            <w:vAlign w:val="center"/>
            <w:hideMark/>
          </w:tcPr>
          <w:p w14:paraId="7425442D" w14:textId="77777777" w:rsidR="00B27784" w:rsidRPr="000D03B4" w:rsidRDefault="00B27784" w:rsidP="00A745DB">
            <w:pPr>
              <w:widowControl/>
              <w:adjustRightInd w:val="0"/>
              <w:snapToGrid w:val="0"/>
              <w:rPr>
                <w:rFonts w:eastAsiaTheme="majorEastAsia"/>
                <w:kern w:val="0"/>
                <w:sz w:val="18"/>
                <w:szCs w:val="18"/>
              </w:rPr>
            </w:pPr>
            <w:r w:rsidRPr="000D03B4">
              <w:rPr>
                <w:rFonts w:eastAsiaTheme="majorEastAsia"/>
                <w:kern w:val="0"/>
                <w:sz w:val="18"/>
                <w:szCs w:val="18"/>
              </w:rPr>
              <w:t>国有金融企业直接股权投资</w:t>
            </w:r>
          </w:p>
        </w:tc>
        <w:tc>
          <w:tcPr>
            <w:tcW w:w="2478" w:type="pct"/>
            <w:shd w:val="clear" w:color="auto" w:fill="auto"/>
            <w:vAlign w:val="center"/>
            <w:hideMark/>
          </w:tcPr>
          <w:p w14:paraId="54B55D32" w14:textId="77777777" w:rsidR="00B27784" w:rsidRPr="000D03B4" w:rsidRDefault="00B27784"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《关于进一步明确国有金融企业直接股权投资有关资产管理问题的通知》（财金〔</w:t>
            </w:r>
            <w:r w:rsidRPr="000D03B4">
              <w:rPr>
                <w:rFonts w:eastAsiaTheme="majorEastAsia"/>
                <w:kern w:val="0"/>
                <w:sz w:val="18"/>
                <w:szCs w:val="18"/>
              </w:rPr>
              <w:t>2014</w:t>
            </w:r>
            <w:r w:rsidRPr="000D03B4">
              <w:rPr>
                <w:rFonts w:eastAsiaTheme="majorEastAsia"/>
                <w:kern w:val="0"/>
                <w:sz w:val="18"/>
                <w:szCs w:val="18"/>
              </w:rPr>
              <w:t>〕</w:t>
            </w:r>
            <w:r w:rsidRPr="000D03B4">
              <w:rPr>
                <w:rFonts w:eastAsiaTheme="majorEastAsia"/>
                <w:kern w:val="0"/>
                <w:sz w:val="18"/>
                <w:szCs w:val="18"/>
              </w:rPr>
              <w:t>31</w:t>
            </w:r>
            <w:r w:rsidRPr="000D03B4">
              <w:rPr>
                <w:rFonts w:eastAsiaTheme="majorEastAsia"/>
                <w:kern w:val="0"/>
                <w:sz w:val="18"/>
                <w:szCs w:val="18"/>
              </w:rPr>
              <w:t>号）</w:t>
            </w:r>
          </w:p>
        </w:tc>
      </w:tr>
      <w:tr w:rsidR="00B27784" w:rsidRPr="000D03B4" w14:paraId="15D75809" w14:textId="77777777" w:rsidTr="00DE61FF">
        <w:trPr>
          <w:gridAfter w:val="1"/>
          <w:wAfter w:w="16" w:type="pct"/>
          <w:trHeight w:val="283"/>
        </w:trPr>
        <w:tc>
          <w:tcPr>
            <w:tcW w:w="242" w:type="pct"/>
            <w:shd w:val="clear" w:color="auto" w:fill="auto"/>
            <w:noWrap/>
            <w:vAlign w:val="center"/>
            <w:hideMark/>
          </w:tcPr>
          <w:p w14:paraId="41ACB3BE" w14:textId="77777777" w:rsidR="00B27784" w:rsidRPr="000D03B4" w:rsidRDefault="00B2778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N38</w:t>
            </w:r>
          </w:p>
        </w:tc>
        <w:tc>
          <w:tcPr>
            <w:tcW w:w="204" w:type="pct"/>
            <w:vMerge/>
            <w:shd w:val="clear" w:color="auto" w:fill="auto"/>
            <w:vAlign w:val="center"/>
            <w:hideMark/>
          </w:tcPr>
          <w:p w14:paraId="389DCAA6" w14:textId="77777777" w:rsidR="00B27784" w:rsidRPr="000D03B4" w:rsidRDefault="00B27784"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18741135" w14:textId="77777777" w:rsidR="00B27784" w:rsidRPr="000D03B4" w:rsidRDefault="00B27784"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37C4DBFF" w14:textId="022DD0E6" w:rsidR="00B27784" w:rsidRPr="000D03B4" w:rsidRDefault="00B27784"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1.3.</w:t>
            </w:r>
            <w:r w:rsidR="006B47AD" w:rsidRPr="000D03B4">
              <w:rPr>
                <w:rFonts w:eastAsiaTheme="majorEastAsia"/>
                <w:kern w:val="0"/>
                <w:sz w:val="18"/>
                <w:szCs w:val="18"/>
              </w:rPr>
              <w:t>2</w:t>
            </w:r>
          </w:p>
        </w:tc>
        <w:tc>
          <w:tcPr>
            <w:tcW w:w="1258" w:type="pct"/>
            <w:shd w:val="clear" w:color="auto" w:fill="auto"/>
            <w:noWrap/>
            <w:vAlign w:val="center"/>
            <w:hideMark/>
          </w:tcPr>
          <w:p w14:paraId="163892E4" w14:textId="77777777" w:rsidR="00B27784" w:rsidRPr="000D03B4" w:rsidRDefault="00B27784" w:rsidP="00A745DB">
            <w:pPr>
              <w:widowControl/>
              <w:adjustRightInd w:val="0"/>
              <w:snapToGrid w:val="0"/>
              <w:rPr>
                <w:rFonts w:eastAsiaTheme="majorEastAsia"/>
                <w:kern w:val="0"/>
                <w:sz w:val="18"/>
                <w:szCs w:val="18"/>
              </w:rPr>
            </w:pPr>
            <w:r w:rsidRPr="000D03B4">
              <w:rPr>
                <w:rFonts w:eastAsiaTheme="majorEastAsia"/>
                <w:kern w:val="0"/>
                <w:sz w:val="18"/>
                <w:szCs w:val="18"/>
              </w:rPr>
              <w:t>市场化银行债权转股权</w:t>
            </w:r>
          </w:p>
        </w:tc>
        <w:tc>
          <w:tcPr>
            <w:tcW w:w="2478" w:type="pct"/>
            <w:shd w:val="clear" w:color="auto" w:fill="auto"/>
            <w:vAlign w:val="center"/>
            <w:hideMark/>
          </w:tcPr>
          <w:p w14:paraId="1367F2B9" w14:textId="71FCE2A4" w:rsidR="00784D43" w:rsidRPr="000D03B4" w:rsidRDefault="0036535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w:t>
            </w:r>
            <w:r w:rsidR="0057640D" w:rsidRPr="000D03B4">
              <w:rPr>
                <w:rFonts w:eastAsiaTheme="majorEastAsia"/>
                <w:kern w:val="0"/>
                <w:sz w:val="18"/>
                <w:szCs w:val="18"/>
              </w:rPr>
              <w:t>1</w:t>
            </w:r>
            <w:r w:rsidRPr="000D03B4">
              <w:rPr>
                <w:rFonts w:eastAsiaTheme="majorEastAsia"/>
                <w:kern w:val="0"/>
                <w:sz w:val="18"/>
                <w:szCs w:val="18"/>
              </w:rPr>
              <w:t>）</w:t>
            </w:r>
            <w:r w:rsidR="00B27784" w:rsidRPr="000D03B4">
              <w:rPr>
                <w:rFonts w:eastAsiaTheme="majorEastAsia"/>
                <w:kern w:val="0"/>
                <w:sz w:val="18"/>
                <w:szCs w:val="18"/>
              </w:rPr>
              <w:t>《关于市场化银行债权转股权实施中有关具体政策问题的通知》（</w:t>
            </w:r>
            <w:proofErr w:type="gramStart"/>
            <w:r w:rsidR="00B27784" w:rsidRPr="000D03B4">
              <w:rPr>
                <w:rFonts w:eastAsiaTheme="majorEastAsia"/>
                <w:kern w:val="0"/>
                <w:sz w:val="18"/>
                <w:szCs w:val="18"/>
              </w:rPr>
              <w:t>发改财金</w:t>
            </w:r>
            <w:proofErr w:type="gramEnd"/>
            <w:r w:rsidR="00B27784" w:rsidRPr="000D03B4">
              <w:rPr>
                <w:rFonts w:eastAsiaTheme="majorEastAsia"/>
                <w:kern w:val="0"/>
                <w:sz w:val="18"/>
                <w:szCs w:val="18"/>
              </w:rPr>
              <w:t>〔</w:t>
            </w:r>
            <w:r w:rsidR="00B27784" w:rsidRPr="000D03B4">
              <w:rPr>
                <w:rFonts w:eastAsiaTheme="majorEastAsia"/>
                <w:kern w:val="0"/>
                <w:sz w:val="18"/>
                <w:szCs w:val="18"/>
              </w:rPr>
              <w:t>2018</w:t>
            </w:r>
            <w:r w:rsidR="00B27784" w:rsidRPr="000D03B4">
              <w:rPr>
                <w:rFonts w:eastAsiaTheme="majorEastAsia"/>
                <w:kern w:val="0"/>
                <w:sz w:val="18"/>
                <w:szCs w:val="18"/>
              </w:rPr>
              <w:t>〕</w:t>
            </w:r>
            <w:r w:rsidR="00B27784" w:rsidRPr="000D03B4">
              <w:rPr>
                <w:rFonts w:eastAsiaTheme="majorEastAsia"/>
                <w:kern w:val="0"/>
                <w:sz w:val="18"/>
                <w:szCs w:val="18"/>
              </w:rPr>
              <w:t>152</w:t>
            </w:r>
            <w:r w:rsidR="00B27784" w:rsidRPr="000D03B4">
              <w:rPr>
                <w:rFonts w:eastAsiaTheme="majorEastAsia"/>
                <w:kern w:val="0"/>
                <w:sz w:val="18"/>
                <w:szCs w:val="18"/>
              </w:rPr>
              <w:t>号）；</w:t>
            </w:r>
            <w:r w:rsidR="00B27784" w:rsidRPr="000D03B4">
              <w:rPr>
                <w:rFonts w:eastAsiaTheme="majorEastAsia"/>
                <w:kern w:val="0"/>
                <w:sz w:val="18"/>
                <w:szCs w:val="18"/>
              </w:rPr>
              <w:br/>
            </w:r>
            <w:r w:rsidRPr="000D03B4">
              <w:rPr>
                <w:rFonts w:eastAsiaTheme="majorEastAsia"/>
                <w:kern w:val="0"/>
                <w:sz w:val="18"/>
                <w:szCs w:val="18"/>
              </w:rPr>
              <w:t>（</w:t>
            </w:r>
            <w:r w:rsidR="0057640D" w:rsidRPr="000D03B4">
              <w:rPr>
                <w:rFonts w:eastAsiaTheme="majorEastAsia"/>
                <w:kern w:val="0"/>
                <w:sz w:val="18"/>
                <w:szCs w:val="18"/>
              </w:rPr>
              <w:t>2</w:t>
            </w:r>
            <w:r w:rsidRPr="000D03B4">
              <w:rPr>
                <w:rFonts w:eastAsiaTheme="majorEastAsia"/>
                <w:kern w:val="0"/>
                <w:sz w:val="18"/>
                <w:szCs w:val="18"/>
              </w:rPr>
              <w:t>）</w:t>
            </w:r>
            <w:r w:rsidR="00784D43" w:rsidRPr="000D03B4">
              <w:rPr>
                <w:rFonts w:eastAsiaTheme="majorEastAsia"/>
                <w:kern w:val="0"/>
                <w:sz w:val="18"/>
                <w:szCs w:val="18"/>
              </w:rPr>
              <w:t>《金融资产投资公司管理办法（试行）》（银保监会令〔</w:t>
            </w:r>
            <w:r w:rsidR="00784D43" w:rsidRPr="000D03B4">
              <w:rPr>
                <w:rFonts w:eastAsiaTheme="majorEastAsia"/>
                <w:kern w:val="0"/>
                <w:sz w:val="18"/>
                <w:szCs w:val="18"/>
              </w:rPr>
              <w:t>2018</w:t>
            </w:r>
            <w:r w:rsidR="00784D43" w:rsidRPr="000D03B4">
              <w:rPr>
                <w:rFonts w:eastAsiaTheme="majorEastAsia"/>
                <w:kern w:val="0"/>
                <w:sz w:val="18"/>
                <w:szCs w:val="18"/>
              </w:rPr>
              <w:t>〕</w:t>
            </w:r>
            <w:r w:rsidR="00784D43" w:rsidRPr="000D03B4">
              <w:rPr>
                <w:rFonts w:eastAsiaTheme="majorEastAsia"/>
                <w:kern w:val="0"/>
                <w:sz w:val="18"/>
                <w:szCs w:val="18"/>
              </w:rPr>
              <w:t>4</w:t>
            </w:r>
            <w:r w:rsidR="00784D43" w:rsidRPr="000D03B4">
              <w:rPr>
                <w:rFonts w:eastAsiaTheme="majorEastAsia"/>
                <w:kern w:val="0"/>
                <w:sz w:val="18"/>
                <w:szCs w:val="18"/>
              </w:rPr>
              <w:t>号）。</w:t>
            </w:r>
          </w:p>
        </w:tc>
      </w:tr>
      <w:tr w:rsidR="00084620" w:rsidRPr="000D03B4" w14:paraId="5C1BD04C" w14:textId="77777777" w:rsidTr="00DE61FF">
        <w:trPr>
          <w:gridAfter w:val="1"/>
          <w:wAfter w:w="16" w:type="pct"/>
          <w:trHeight w:val="283"/>
        </w:trPr>
        <w:tc>
          <w:tcPr>
            <w:tcW w:w="242" w:type="pct"/>
            <w:shd w:val="clear" w:color="auto" w:fill="auto"/>
            <w:noWrap/>
            <w:vAlign w:val="center"/>
            <w:hideMark/>
          </w:tcPr>
          <w:p w14:paraId="015906EC" w14:textId="77777777" w:rsidR="00084620" w:rsidRPr="000D03B4" w:rsidRDefault="00084620"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N39</w:t>
            </w:r>
          </w:p>
        </w:tc>
        <w:tc>
          <w:tcPr>
            <w:tcW w:w="204" w:type="pct"/>
            <w:vMerge w:val="restart"/>
            <w:shd w:val="clear" w:color="auto" w:fill="auto"/>
            <w:noWrap/>
            <w:vAlign w:val="center"/>
            <w:hideMark/>
          </w:tcPr>
          <w:p w14:paraId="60B548AB" w14:textId="77777777" w:rsidR="00084620" w:rsidRPr="000D03B4" w:rsidRDefault="00084620"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1.4</w:t>
            </w:r>
          </w:p>
        </w:tc>
        <w:tc>
          <w:tcPr>
            <w:tcW w:w="449" w:type="pct"/>
            <w:vMerge w:val="restart"/>
            <w:shd w:val="clear" w:color="auto" w:fill="auto"/>
            <w:noWrap/>
            <w:vAlign w:val="center"/>
            <w:hideMark/>
          </w:tcPr>
          <w:p w14:paraId="25B1ACAD" w14:textId="77777777" w:rsidR="00084620" w:rsidRPr="000D03B4" w:rsidRDefault="00084620"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中央文化企业</w:t>
            </w:r>
          </w:p>
        </w:tc>
        <w:tc>
          <w:tcPr>
            <w:tcW w:w="353" w:type="pct"/>
            <w:shd w:val="clear" w:color="auto" w:fill="auto"/>
            <w:noWrap/>
            <w:vAlign w:val="center"/>
            <w:hideMark/>
          </w:tcPr>
          <w:p w14:paraId="2C3A398C" w14:textId="77777777" w:rsidR="00084620" w:rsidRPr="000D03B4" w:rsidRDefault="00084620"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1.4.1</w:t>
            </w:r>
          </w:p>
        </w:tc>
        <w:tc>
          <w:tcPr>
            <w:tcW w:w="1258" w:type="pct"/>
            <w:shd w:val="clear" w:color="auto" w:fill="auto"/>
            <w:noWrap/>
            <w:vAlign w:val="center"/>
            <w:hideMark/>
          </w:tcPr>
          <w:p w14:paraId="50BE7B63" w14:textId="77777777" w:rsidR="00084620" w:rsidRPr="000D03B4" w:rsidRDefault="00084620" w:rsidP="00A745DB">
            <w:pPr>
              <w:widowControl/>
              <w:adjustRightInd w:val="0"/>
              <w:snapToGrid w:val="0"/>
              <w:rPr>
                <w:rFonts w:eastAsiaTheme="majorEastAsia"/>
                <w:kern w:val="0"/>
                <w:sz w:val="18"/>
                <w:szCs w:val="18"/>
              </w:rPr>
            </w:pPr>
            <w:r w:rsidRPr="000D03B4">
              <w:rPr>
                <w:rFonts w:eastAsiaTheme="majorEastAsia"/>
                <w:kern w:val="0"/>
                <w:sz w:val="18"/>
                <w:szCs w:val="18"/>
              </w:rPr>
              <w:t>经营性文化事业单位转制为企业</w:t>
            </w:r>
          </w:p>
        </w:tc>
        <w:tc>
          <w:tcPr>
            <w:tcW w:w="2478" w:type="pct"/>
            <w:vMerge w:val="restart"/>
            <w:shd w:val="clear" w:color="auto" w:fill="auto"/>
            <w:vAlign w:val="center"/>
            <w:hideMark/>
          </w:tcPr>
          <w:p w14:paraId="5AC1E148" w14:textId="77777777" w:rsidR="00084620" w:rsidRPr="000D03B4" w:rsidRDefault="00084620" w:rsidP="00264E2B">
            <w:pPr>
              <w:adjustRightInd w:val="0"/>
              <w:snapToGrid w:val="0"/>
              <w:jc w:val="left"/>
              <w:rPr>
                <w:rFonts w:eastAsiaTheme="majorEastAsia"/>
                <w:kern w:val="0"/>
                <w:sz w:val="18"/>
                <w:szCs w:val="18"/>
              </w:rPr>
            </w:pPr>
            <w:r w:rsidRPr="000D03B4">
              <w:rPr>
                <w:rFonts w:eastAsiaTheme="majorEastAsia"/>
                <w:kern w:val="0"/>
                <w:sz w:val="18"/>
                <w:szCs w:val="18"/>
              </w:rPr>
              <w:t>（</w:t>
            </w:r>
            <w:r w:rsidRPr="000D03B4">
              <w:rPr>
                <w:rFonts w:eastAsiaTheme="majorEastAsia"/>
                <w:kern w:val="0"/>
                <w:sz w:val="18"/>
                <w:szCs w:val="18"/>
              </w:rPr>
              <w:t>1</w:t>
            </w:r>
            <w:r w:rsidRPr="000D03B4">
              <w:rPr>
                <w:rFonts w:eastAsiaTheme="majorEastAsia"/>
                <w:kern w:val="0"/>
                <w:sz w:val="18"/>
                <w:szCs w:val="18"/>
              </w:rPr>
              <w:t>）《中央文化企业国有资产评估管理暂行办法》（</w:t>
            </w:r>
            <w:proofErr w:type="gramStart"/>
            <w:r w:rsidRPr="000D03B4">
              <w:rPr>
                <w:rFonts w:eastAsiaTheme="majorEastAsia"/>
                <w:kern w:val="0"/>
                <w:sz w:val="18"/>
                <w:szCs w:val="18"/>
              </w:rPr>
              <w:t>财文资〔</w:t>
            </w:r>
            <w:r w:rsidRPr="000D03B4">
              <w:rPr>
                <w:rFonts w:eastAsiaTheme="majorEastAsia"/>
                <w:kern w:val="0"/>
                <w:sz w:val="18"/>
                <w:szCs w:val="18"/>
              </w:rPr>
              <w:t>2012</w:t>
            </w:r>
            <w:r w:rsidRPr="000D03B4">
              <w:rPr>
                <w:rFonts w:eastAsiaTheme="majorEastAsia"/>
                <w:kern w:val="0"/>
                <w:sz w:val="18"/>
                <w:szCs w:val="18"/>
              </w:rPr>
              <w:t>〕</w:t>
            </w:r>
            <w:proofErr w:type="gramEnd"/>
            <w:r w:rsidRPr="000D03B4">
              <w:rPr>
                <w:rFonts w:eastAsiaTheme="majorEastAsia"/>
                <w:kern w:val="0"/>
                <w:sz w:val="18"/>
                <w:szCs w:val="18"/>
              </w:rPr>
              <w:t>15</w:t>
            </w:r>
            <w:r w:rsidRPr="000D03B4">
              <w:rPr>
                <w:rFonts w:eastAsiaTheme="majorEastAsia"/>
                <w:kern w:val="0"/>
                <w:sz w:val="18"/>
                <w:szCs w:val="18"/>
              </w:rPr>
              <w:t>号）</w:t>
            </w:r>
            <w:r w:rsidRPr="000D03B4">
              <w:rPr>
                <w:rFonts w:eastAsiaTheme="majorEastAsia"/>
                <w:kern w:val="0"/>
                <w:sz w:val="18"/>
                <w:szCs w:val="18"/>
              </w:rPr>
              <w:t>;</w:t>
            </w:r>
          </w:p>
          <w:p w14:paraId="5AEC7F7D" w14:textId="77777777" w:rsidR="00084620" w:rsidRPr="000D03B4" w:rsidRDefault="00084620" w:rsidP="00264E2B">
            <w:pPr>
              <w:adjustRightInd w:val="0"/>
              <w:snapToGrid w:val="0"/>
              <w:jc w:val="left"/>
              <w:rPr>
                <w:rFonts w:eastAsiaTheme="majorEastAsia"/>
                <w:kern w:val="0"/>
                <w:sz w:val="18"/>
                <w:szCs w:val="18"/>
              </w:rPr>
            </w:pPr>
            <w:r w:rsidRPr="000D03B4">
              <w:rPr>
                <w:rFonts w:eastAsiaTheme="majorEastAsia"/>
                <w:kern w:val="0"/>
                <w:sz w:val="18"/>
                <w:szCs w:val="18"/>
              </w:rPr>
              <w:t>（</w:t>
            </w:r>
            <w:r w:rsidRPr="000D03B4">
              <w:rPr>
                <w:rFonts w:eastAsiaTheme="majorEastAsia"/>
                <w:kern w:val="0"/>
                <w:sz w:val="18"/>
                <w:szCs w:val="18"/>
              </w:rPr>
              <w:t>2</w:t>
            </w:r>
            <w:r w:rsidRPr="000D03B4">
              <w:rPr>
                <w:rFonts w:eastAsiaTheme="majorEastAsia"/>
                <w:kern w:val="0"/>
                <w:sz w:val="18"/>
                <w:szCs w:val="18"/>
              </w:rPr>
              <w:t>）《关于印发文化体制改革中经营性文化事业单位转制为企业和进一步支持文化企业发展两个规定的通知》（国办发〔</w:t>
            </w:r>
            <w:r w:rsidRPr="000D03B4">
              <w:rPr>
                <w:rFonts w:eastAsiaTheme="majorEastAsia"/>
                <w:kern w:val="0"/>
                <w:sz w:val="18"/>
                <w:szCs w:val="18"/>
              </w:rPr>
              <w:t>2014</w:t>
            </w:r>
            <w:r w:rsidRPr="000D03B4">
              <w:rPr>
                <w:rFonts w:eastAsiaTheme="majorEastAsia"/>
                <w:kern w:val="0"/>
                <w:sz w:val="18"/>
                <w:szCs w:val="18"/>
              </w:rPr>
              <w:t>〕</w:t>
            </w:r>
            <w:r w:rsidRPr="000D03B4">
              <w:rPr>
                <w:rFonts w:eastAsiaTheme="majorEastAsia"/>
                <w:kern w:val="0"/>
                <w:sz w:val="18"/>
                <w:szCs w:val="18"/>
              </w:rPr>
              <w:t>15</w:t>
            </w:r>
            <w:r w:rsidRPr="000D03B4">
              <w:rPr>
                <w:rFonts w:eastAsiaTheme="majorEastAsia"/>
                <w:kern w:val="0"/>
                <w:sz w:val="18"/>
                <w:szCs w:val="18"/>
              </w:rPr>
              <w:t>号）；</w:t>
            </w:r>
          </w:p>
          <w:p w14:paraId="3DE3D3AC" w14:textId="77777777" w:rsidR="00084620" w:rsidRPr="000D03B4" w:rsidRDefault="00084620" w:rsidP="00264E2B">
            <w:pPr>
              <w:adjustRightInd w:val="0"/>
              <w:snapToGrid w:val="0"/>
              <w:jc w:val="left"/>
              <w:rPr>
                <w:rFonts w:eastAsiaTheme="majorEastAsia"/>
                <w:kern w:val="0"/>
                <w:sz w:val="18"/>
                <w:szCs w:val="18"/>
              </w:rPr>
            </w:pPr>
            <w:r w:rsidRPr="000D03B4">
              <w:rPr>
                <w:rFonts w:eastAsiaTheme="majorEastAsia"/>
                <w:kern w:val="0"/>
                <w:sz w:val="18"/>
                <w:szCs w:val="18"/>
              </w:rPr>
              <w:t>（</w:t>
            </w:r>
            <w:r w:rsidRPr="000D03B4">
              <w:rPr>
                <w:rFonts w:eastAsiaTheme="majorEastAsia"/>
                <w:kern w:val="0"/>
                <w:sz w:val="18"/>
                <w:szCs w:val="18"/>
              </w:rPr>
              <w:t>3</w:t>
            </w:r>
            <w:r w:rsidRPr="000D03B4">
              <w:rPr>
                <w:rFonts w:eastAsiaTheme="majorEastAsia"/>
                <w:kern w:val="0"/>
                <w:sz w:val="18"/>
                <w:szCs w:val="18"/>
              </w:rPr>
              <w:t>）《中央文化企业国有资产监督管理暂行办法》（中宣发〔</w:t>
            </w:r>
            <w:r w:rsidRPr="000D03B4">
              <w:rPr>
                <w:rFonts w:eastAsiaTheme="majorEastAsia"/>
                <w:kern w:val="0"/>
                <w:sz w:val="18"/>
                <w:szCs w:val="18"/>
              </w:rPr>
              <w:t>2017</w:t>
            </w:r>
            <w:r w:rsidRPr="000D03B4">
              <w:rPr>
                <w:rFonts w:eastAsiaTheme="majorEastAsia"/>
                <w:kern w:val="0"/>
                <w:sz w:val="18"/>
                <w:szCs w:val="18"/>
              </w:rPr>
              <w:t>〕</w:t>
            </w:r>
            <w:r w:rsidRPr="000D03B4">
              <w:rPr>
                <w:rFonts w:eastAsiaTheme="majorEastAsia"/>
                <w:kern w:val="0"/>
                <w:sz w:val="18"/>
                <w:szCs w:val="18"/>
              </w:rPr>
              <w:t>3</w:t>
            </w:r>
            <w:r w:rsidRPr="000D03B4">
              <w:rPr>
                <w:rFonts w:eastAsiaTheme="majorEastAsia"/>
                <w:kern w:val="0"/>
                <w:sz w:val="18"/>
                <w:szCs w:val="18"/>
              </w:rPr>
              <w:t>号）；</w:t>
            </w:r>
          </w:p>
          <w:p w14:paraId="683C5196" w14:textId="77777777" w:rsidR="00084620" w:rsidRPr="000D03B4" w:rsidRDefault="00084620" w:rsidP="00264E2B">
            <w:pPr>
              <w:adjustRightInd w:val="0"/>
              <w:snapToGrid w:val="0"/>
              <w:jc w:val="left"/>
              <w:rPr>
                <w:rFonts w:eastAsiaTheme="majorEastAsia"/>
                <w:kern w:val="0"/>
                <w:sz w:val="18"/>
                <w:szCs w:val="18"/>
              </w:rPr>
            </w:pPr>
            <w:r w:rsidRPr="000D03B4">
              <w:rPr>
                <w:rFonts w:eastAsiaTheme="majorEastAsia"/>
                <w:kern w:val="0"/>
                <w:sz w:val="18"/>
                <w:szCs w:val="18"/>
              </w:rPr>
              <w:t>（</w:t>
            </w:r>
            <w:r w:rsidRPr="000D03B4">
              <w:rPr>
                <w:rFonts w:eastAsiaTheme="majorEastAsia"/>
                <w:kern w:val="0"/>
                <w:sz w:val="18"/>
                <w:szCs w:val="18"/>
              </w:rPr>
              <w:t>4</w:t>
            </w:r>
            <w:r w:rsidRPr="000D03B4">
              <w:rPr>
                <w:rFonts w:eastAsiaTheme="majorEastAsia"/>
                <w:kern w:val="0"/>
                <w:sz w:val="18"/>
                <w:szCs w:val="18"/>
              </w:rPr>
              <w:t>）《关于中央文化企业公司制改制工作实施方案的通知》（财文〔</w:t>
            </w:r>
            <w:r w:rsidRPr="000D03B4">
              <w:rPr>
                <w:rFonts w:eastAsiaTheme="majorEastAsia"/>
                <w:kern w:val="0"/>
                <w:sz w:val="18"/>
                <w:szCs w:val="18"/>
              </w:rPr>
              <w:t>2018</w:t>
            </w:r>
            <w:r w:rsidRPr="000D03B4">
              <w:rPr>
                <w:rFonts w:eastAsiaTheme="majorEastAsia"/>
                <w:kern w:val="0"/>
                <w:sz w:val="18"/>
                <w:szCs w:val="18"/>
              </w:rPr>
              <w:t>〕</w:t>
            </w:r>
            <w:r w:rsidRPr="000D03B4">
              <w:rPr>
                <w:rFonts w:eastAsiaTheme="majorEastAsia"/>
                <w:kern w:val="0"/>
                <w:sz w:val="18"/>
                <w:szCs w:val="18"/>
              </w:rPr>
              <w:t>6</w:t>
            </w:r>
            <w:r w:rsidRPr="000D03B4">
              <w:rPr>
                <w:rFonts w:eastAsiaTheme="majorEastAsia"/>
                <w:kern w:val="0"/>
                <w:sz w:val="18"/>
                <w:szCs w:val="18"/>
              </w:rPr>
              <w:t>号）；</w:t>
            </w:r>
          </w:p>
          <w:p w14:paraId="36906267" w14:textId="6D12DB1B" w:rsidR="00084620" w:rsidRPr="000D03B4" w:rsidRDefault="00084620" w:rsidP="00264E2B">
            <w:pPr>
              <w:adjustRightInd w:val="0"/>
              <w:snapToGrid w:val="0"/>
              <w:jc w:val="left"/>
              <w:rPr>
                <w:rFonts w:eastAsiaTheme="majorEastAsia"/>
                <w:kern w:val="0"/>
                <w:sz w:val="18"/>
                <w:szCs w:val="18"/>
              </w:rPr>
            </w:pPr>
            <w:r w:rsidRPr="000D03B4">
              <w:rPr>
                <w:rFonts w:eastAsiaTheme="majorEastAsia"/>
                <w:kern w:val="0"/>
                <w:sz w:val="18"/>
                <w:szCs w:val="18"/>
              </w:rPr>
              <w:t>（</w:t>
            </w:r>
            <w:r w:rsidRPr="000D03B4">
              <w:rPr>
                <w:rFonts w:eastAsiaTheme="majorEastAsia"/>
                <w:kern w:val="0"/>
                <w:sz w:val="18"/>
                <w:szCs w:val="18"/>
              </w:rPr>
              <w:t>5</w:t>
            </w:r>
            <w:r w:rsidRPr="000D03B4">
              <w:rPr>
                <w:rFonts w:eastAsiaTheme="majorEastAsia"/>
                <w:kern w:val="0"/>
                <w:sz w:val="18"/>
                <w:szCs w:val="18"/>
              </w:rPr>
              <w:t>）《关于进一步规范中央文化企业国有资产交易管理的通知》（财文〔</w:t>
            </w:r>
            <w:r w:rsidRPr="000D03B4">
              <w:rPr>
                <w:rFonts w:eastAsiaTheme="majorEastAsia"/>
                <w:kern w:val="0"/>
                <w:sz w:val="18"/>
                <w:szCs w:val="18"/>
              </w:rPr>
              <w:t>2017</w:t>
            </w:r>
            <w:r w:rsidRPr="000D03B4">
              <w:rPr>
                <w:rFonts w:eastAsiaTheme="majorEastAsia"/>
                <w:kern w:val="0"/>
                <w:sz w:val="18"/>
                <w:szCs w:val="18"/>
              </w:rPr>
              <w:t>〕</w:t>
            </w:r>
            <w:r w:rsidRPr="000D03B4">
              <w:rPr>
                <w:rFonts w:eastAsiaTheme="majorEastAsia"/>
                <w:kern w:val="0"/>
                <w:sz w:val="18"/>
                <w:szCs w:val="18"/>
              </w:rPr>
              <w:t>140</w:t>
            </w:r>
            <w:r w:rsidRPr="000D03B4">
              <w:rPr>
                <w:rFonts w:eastAsiaTheme="majorEastAsia"/>
                <w:kern w:val="0"/>
                <w:sz w:val="18"/>
                <w:szCs w:val="18"/>
              </w:rPr>
              <w:t>号）。</w:t>
            </w:r>
          </w:p>
        </w:tc>
      </w:tr>
      <w:tr w:rsidR="00084620" w:rsidRPr="000D03B4" w14:paraId="4F774615" w14:textId="77777777" w:rsidTr="00DE61FF">
        <w:trPr>
          <w:gridAfter w:val="1"/>
          <w:wAfter w:w="16" w:type="pct"/>
          <w:trHeight w:val="283"/>
        </w:trPr>
        <w:tc>
          <w:tcPr>
            <w:tcW w:w="242" w:type="pct"/>
            <w:shd w:val="clear" w:color="auto" w:fill="auto"/>
            <w:noWrap/>
            <w:vAlign w:val="center"/>
            <w:hideMark/>
          </w:tcPr>
          <w:p w14:paraId="3212ED5E" w14:textId="77777777" w:rsidR="00084620" w:rsidRPr="000D03B4" w:rsidRDefault="00084620"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N40</w:t>
            </w:r>
          </w:p>
        </w:tc>
        <w:tc>
          <w:tcPr>
            <w:tcW w:w="204" w:type="pct"/>
            <w:vMerge/>
            <w:shd w:val="clear" w:color="auto" w:fill="auto"/>
            <w:vAlign w:val="center"/>
            <w:hideMark/>
          </w:tcPr>
          <w:p w14:paraId="113EF898" w14:textId="77777777" w:rsidR="00084620" w:rsidRPr="000D03B4" w:rsidRDefault="00084620"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7D38D3A" w14:textId="77777777" w:rsidR="00084620" w:rsidRPr="000D03B4" w:rsidRDefault="00084620"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49DDB1C7" w14:textId="77777777" w:rsidR="00084620" w:rsidRPr="000D03B4" w:rsidRDefault="00084620"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1.4.2</w:t>
            </w:r>
          </w:p>
        </w:tc>
        <w:tc>
          <w:tcPr>
            <w:tcW w:w="1258" w:type="pct"/>
            <w:shd w:val="clear" w:color="auto" w:fill="auto"/>
            <w:noWrap/>
            <w:vAlign w:val="center"/>
            <w:hideMark/>
          </w:tcPr>
          <w:p w14:paraId="58F9F29D" w14:textId="77777777" w:rsidR="00084620" w:rsidRPr="000D03B4" w:rsidRDefault="00084620" w:rsidP="00A745DB">
            <w:pPr>
              <w:widowControl/>
              <w:adjustRightInd w:val="0"/>
              <w:snapToGrid w:val="0"/>
              <w:rPr>
                <w:rFonts w:eastAsiaTheme="majorEastAsia"/>
                <w:kern w:val="0"/>
                <w:sz w:val="18"/>
                <w:szCs w:val="18"/>
              </w:rPr>
            </w:pPr>
            <w:r w:rsidRPr="000D03B4">
              <w:rPr>
                <w:rFonts w:eastAsiaTheme="majorEastAsia"/>
                <w:kern w:val="0"/>
                <w:sz w:val="18"/>
                <w:szCs w:val="18"/>
              </w:rPr>
              <w:t>中央文化企业改制</w:t>
            </w:r>
          </w:p>
        </w:tc>
        <w:tc>
          <w:tcPr>
            <w:tcW w:w="2478" w:type="pct"/>
            <w:vMerge/>
            <w:shd w:val="clear" w:color="auto" w:fill="auto"/>
            <w:vAlign w:val="center"/>
            <w:hideMark/>
          </w:tcPr>
          <w:p w14:paraId="07DD4A47" w14:textId="6F75AE06" w:rsidR="00084620" w:rsidRPr="000D03B4" w:rsidRDefault="00084620" w:rsidP="00A745DB">
            <w:pPr>
              <w:adjustRightInd w:val="0"/>
              <w:snapToGrid w:val="0"/>
              <w:rPr>
                <w:rFonts w:eastAsiaTheme="majorEastAsia"/>
                <w:kern w:val="0"/>
                <w:sz w:val="18"/>
                <w:szCs w:val="18"/>
              </w:rPr>
            </w:pPr>
          </w:p>
        </w:tc>
      </w:tr>
      <w:tr w:rsidR="00084620" w:rsidRPr="000D03B4" w14:paraId="1103579F" w14:textId="77777777" w:rsidTr="00DE61FF">
        <w:trPr>
          <w:gridAfter w:val="1"/>
          <w:wAfter w:w="16" w:type="pct"/>
          <w:trHeight w:val="283"/>
        </w:trPr>
        <w:tc>
          <w:tcPr>
            <w:tcW w:w="242" w:type="pct"/>
            <w:shd w:val="clear" w:color="auto" w:fill="auto"/>
            <w:noWrap/>
            <w:vAlign w:val="center"/>
            <w:hideMark/>
          </w:tcPr>
          <w:p w14:paraId="2DC867A0" w14:textId="77777777" w:rsidR="00084620" w:rsidRPr="000D03B4" w:rsidRDefault="00084620"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N41</w:t>
            </w:r>
          </w:p>
        </w:tc>
        <w:tc>
          <w:tcPr>
            <w:tcW w:w="204" w:type="pct"/>
            <w:vMerge/>
            <w:shd w:val="clear" w:color="auto" w:fill="auto"/>
            <w:vAlign w:val="center"/>
            <w:hideMark/>
          </w:tcPr>
          <w:p w14:paraId="2C17D49F" w14:textId="77777777" w:rsidR="00084620" w:rsidRPr="000D03B4" w:rsidRDefault="00084620"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944AF34" w14:textId="77777777" w:rsidR="00084620" w:rsidRPr="000D03B4" w:rsidRDefault="00084620"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4B0236C1" w14:textId="77777777" w:rsidR="00084620" w:rsidRPr="000D03B4" w:rsidRDefault="00084620"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1.4.3</w:t>
            </w:r>
          </w:p>
        </w:tc>
        <w:tc>
          <w:tcPr>
            <w:tcW w:w="1258" w:type="pct"/>
            <w:shd w:val="clear" w:color="auto" w:fill="auto"/>
            <w:noWrap/>
            <w:vAlign w:val="center"/>
            <w:hideMark/>
          </w:tcPr>
          <w:p w14:paraId="2EFB744A" w14:textId="77777777" w:rsidR="00084620" w:rsidRPr="000D03B4" w:rsidRDefault="00084620" w:rsidP="00A745DB">
            <w:pPr>
              <w:widowControl/>
              <w:adjustRightInd w:val="0"/>
              <w:snapToGrid w:val="0"/>
              <w:rPr>
                <w:rFonts w:eastAsiaTheme="majorEastAsia"/>
                <w:kern w:val="0"/>
                <w:sz w:val="18"/>
                <w:szCs w:val="18"/>
              </w:rPr>
            </w:pPr>
            <w:r w:rsidRPr="000D03B4">
              <w:rPr>
                <w:rFonts w:eastAsiaTheme="majorEastAsia"/>
                <w:kern w:val="0"/>
                <w:sz w:val="18"/>
                <w:szCs w:val="18"/>
              </w:rPr>
              <w:t>中央文化企业产权转让</w:t>
            </w:r>
          </w:p>
        </w:tc>
        <w:tc>
          <w:tcPr>
            <w:tcW w:w="2478" w:type="pct"/>
            <w:vMerge/>
            <w:shd w:val="clear" w:color="auto" w:fill="auto"/>
            <w:vAlign w:val="center"/>
            <w:hideMark/>
          </w:tcPr>
          <w:p w14:paraId="7FA8FD1E" w14:textId="5C2EDCAD" w:rsidR="00084620" w:rsidRPr="000D03B4" w:rsidRDefault="00084620" w:rsidP="00A745DB">
            <w:pPr>
              <w:widowControl/>
              <w:adjustRightInd w:val="0"/>
              <w:snapToGrid w:val="0"/>
              <w:rPr>
                <w:rFonts w:eastAsiaTheme="majorEastAsia"/>
                <w:kern w:val="0"/>
                <w:sz w:val="18"/>
                <w:szCs w:val="18"/>
              </w:rPr>
            </w:pPr>
          </w:p>
        </w:tc>
      </w:tr>
      <w:tr w:rsidR="00084620" w:rsidRPr="000D03B4" w14:paraId="33495E2E" w14:textId="77777777" w:rsidTr="00DE61FF">
        <w:trPr>
          <w:gridAfter w:val="1"/>
          <w:wAfter w:w="16" w:type="pct"/>
          <w:trHeight w:val="283"/>
        </w:trPr>
        <w:tc>
          <w:tcPr>
            <w:tcW w:w="242" w:type="pct"/>
            <w:shd w:val="clear" w:color="auto" w:fill="auto"/>
            <w:noWrap/>
            <w:vAlign w:val="center"/>
            <w:hideMark/>
          </w:tcPr>
          <w:p w14:paraId="48451BA5" w14:textId="77777777" w:rsidR="00084620" w:rsidRPr="000D03B4" w:rsidRDefault="00084620"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N42</w:t>
            </w:r>
          </w:p>
        </w:tc>
        <w:tc>
          <w:tcPr>
            <w:tcW w:w="204" w:type="pct"/>
            <w:vMerge/>
            <w:shd w:val="clear" w:color="auto" w:fill="auto"/>
            <w:vAlign w:val="center"/>
            <w:hideMark/>
          </w:tcPr>
          <w:p w14:paraId="72B21163" w14:textId="77777777" w:rsidR="00084620" w:rsidRPr="000D03B4" w:rsidRDefault="00084620"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451FCF3" w14:textId="77777777" w:rsidR="00084620" w:rsidRPr="000D03B4" w:rsidRDefault="00084620"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4861C507" w14:textId="77777777" w:rsidR="00084620" w:rsidRPr="000D03B4" w:rsidRDefault="00084620"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1.4.4</w:t>
            </w:r>
          </w:p>
        </w:tc>
        <w:tc>
          <w:tcPr>
            <w:tcW w:w="1258" w:type="pct"/>
            <w:shd w:val="clear" w:color="auto" w:fill="auto"/>
            <w:noWrap/>
            <w:vAlign w:val="center"/>
            <w:hideMark/>
          </w:tcPr>
          <w:p w14:paraId="69D073B5" w14:textId="77777777" w:rsidR="00084620" w:rsidRPr="000D03B4" w:rsidRDefault="00084620" w:rsidP="00A745DB">
            <w:pPr>
              <w:widowControl/>
              <w:adjustRightInd w:val="0"/>
              <w:snapToGrid w:val="0"/>
              <w:rPr>
                <w:rFonts w:eastAsiaTheme="majorEastAsia"/>
                <w:kern w:val="0"/>
                <w:sz w:val="18"/>
                <w:szCs w:val="18"/>
              </w:rPr>
            </w:pPr>
            <w:r w:rsidRPr="000D03B4">
              <w:rPr>
                <w:rFonts w:eastAsiaTheme="majorEastAsia"/>
                <w:kern w:val="0"/>
                <w:sz w:val="18"/>
                <w:szCs w:val="18"/>
              </w:rPr>
              <w:t>中央文化企业增资</w:t>
            </w:r>
          </w:p>
        </w:tc>
        <w:tc>
          <w:tcPr>
            <w:tcW w:w="2478" w:type="pct"/>
            <w:vMerge/>
            <w:shd w:val="clear" w:color="auto" w:fill="auto"/>
            <w:vAlign w:val="center"/>
            <w:hideMark/>
          </w:tcPr>
          <w:p w14:paraId="7CF3E29B" w14:textId="77777777" w:rsidR="00084620" w:rsidRPr="000D03B4" w:rsidRDefault="00084620" w:rsidP="00A745DB">
            <w:pPr>
              <w:widowControl/>
              <w:adjustRightInd w:val="0"/>
              <w:snapToGrid w:val="0"/>
              <w:rPr>
                <w:rFonts w:eastAsiaTheme="majorEastAsia"/>
                <w:kern w:val="0"/>
                <w:sz w:val="18"/>
                <w:szCs w:val="18"/>
              </w:rPr>
            </w:pPr>
          </w:p>
        </w:tc>
      </w:tr>
      <w:tr w:rsidR="00084620" w:rsidRPr="000D03B4" w14:paraId="1A73161B" w14:textId="77777777" w:rsidTr="00DE61FF">
        <w:trPr>
          <w:gridAfter w:val="1"/>
          <w:wAfter w:w="16" w:type="pct"/>
          <w:trHeight w:val="1192"/>
        </w:trPr>
        <w:tc>
          <w:tcPr>
            <w:tcW w:w="242" w:type="pct"/>
            <w:shd w:val="clear" w:color="auto" w:fill="auto"/>
            <w:noWrap/>
            <w:vAlign w:val="center"/>
            <w:hideMark/>
          </w:tcPr>
          <w:p w14:paraId="20AEC695" w14:textId="77777777" w:rsidR="00084620" w:rsidRPr="000D03B4" w:rsidRDefault="00084620"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N43</w:t>
            </w:r>
          </w:p>
        </w:tc>
        <w:tc>
          <w:tcPr>
            <w:tcW w:w="204" w:type="pct"/>
            <w:vMerge/>
            <w:shd w:val="clear" w:color="auto" w:fill="auto"/>
            <w:vAlign w:val="center"/>
            <w:hideMark/>
          </w:tcPr>
          <w:p w14:paraId="160FA452" w14:textId="77777777" w:rsidR="00084620" w:rsidRPr="000D03B4" w:rsidRDefault="00084620"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11F8952" w14:textId="77777777" w:rsidR="00084620" w:rsidRPr="000D03B4" w:rsidRDefault="00084620"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1E3FD15" w14:textId="77777777" w:rsidR="00084620" w:rsidRPr="000D03B4" w:rsidRDefault="00084620"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1.4.5</w:t>
            </w:r>
          </w:p>
        </w:tc>
        <w:tc>
          <w:tcPr>
            <w:tcW w:w="1258" w:type="pct"/>
            <w:shd w:val="clear" w:color="auto" w:fill="auto"/>
            <w:noWrap/>
            <w:vAlign w:val="center"/>
            <w:hideMark/>
          </w:tcPr>
          <w:p w14:paraId="0270F6DC" w14:textId="77777777" w:rsidR="00084620" w:rsidRPr="000D03B4" w:rsidRDefault="00084620" w:rsidP="00A745DB">
            <w:pPr>
              <w:widowControl/>
              <w:adjustRightInd w:val="0"/>
              <w:snapToGrid w:val="0"/>
              <w:rPr>
                <w:rFonts w:eastAsiaTheme="majorEastAsia"/>
                <w:kern w:val="0"/>
                <w:sz w:val="18"/>
                <w:szCs w:val="18"/>
              </w:rPr>
            </w:pPr>
            <w:r w:rsidRPr="000D03B4">
              <w:rPr>
                <w:rFonts w:eastAsiaTheme="majorEastAsia"/>
                <w:kern w:val="0"/>
                <w:sz w:val="18"/>
                <w:szCs w:val="18"/>
              </w:rPr>
              <w:t>中央文化企业资产转让</w:t>
            </w:r>
          </w:p>
        </w:tc>
        <w:tc>
          <w:tcPr>
            <w:tcW w:w="2478" w:type="pct"/>
            <w:vMerge/>
            <w:shd w:val="clear" w:color="auto" w:fill="auto"/>
            <w:vAlign w:val="center"/>
            <w:hideMark/>
          </w:tcPr>
          <w:p w14:paraId="42BAFC6F" w14:textId="77777777" w:rsidR="00084620" w:rsidRPr="000D03B4" w:rsidRDefault="00084620" w:rsidP="00A745DB">
            <w:pPr>
              <w:widowControl/>
              <w:adjustRightInd w:val="0"/>
              <w:snapToGrid w:val="0"/>
              <w:rPr>
                <w:rFonts w:eastAsiaTheme="majorEastAsia"/>
                <w:kern w:val="0"/>
                <w:sz w:val="18"/>
                <w:szCs w:val="18"/>
              </w:rPr>
            </w:pPr>
          </w:p>
        </w:tc>
      </w:tr>
      <w:tr w:rsidR="00E71ECE" w:rsidRPr="000D03B4" w14:paraId="432BACA1" w14:textId="77777777" w:rsidTr="00DE61FF">
        <w:trPr>
          <w:gridAfter w:val="1"/>
          <w:wAfter w:w="16" w:type="pct"/>
          <w:trHeight w:val="283"/>
        </w:trPr>
        <w:tc>
          <w:tcPr>
            <w:tcW w:w="242" w:type="pct"/>
            <w:shd w:val="clear" w:color="auto" w:fill="auto"/>
            <w:noWrap/>
            <w:vAlign w:val="center"/>
            <w:hideMark/>
          </w:tcPr>
          <w:p w14:paraId="4C23C3E1"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lastRenderedPageBreak/>
              <w:t>44</w:t>
            </w:r>
          </w:p>
        </w:tc>
        <w:tc>
          <w:tcPr>
            <w:tcW w:w="204" w:type="pct"/>
            <w:vMerge w:val="restart"/>
            <w:shd w:val="clear" w:color="auto" w:fill="auto"/>
            <w:noWrap/>
            <w:vAlign w:val="center"/>
            <w:hideMark/>
          </w:tcPr>
          <w:p w14:paraId="0F4E7692"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1.5</w:t>
            </w:r>
          </w:p>
        </w:tc>
        <w:tc>
          <w:tcPr>
            <w:tcW w:w="449" w:type="pct"/>
            <w:vMerge w:val="restart"/>
            <w:shd w:val="clear" w:color="auto" w:fill="auto"/>
            <w:noWrap/>
            <w:vAlign w:val="center"/>
            <w:hideMark/>
          </w:tcPr>
          <w:p w14:paraId="502787DE" w14:textId="70444612"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上市公司及非上市公众公司</w:t>
            </w:r>
          </w:p>
        </w:tc>
        <w:tc>
          <w:tcPr>
            <w:tcW w:w="353" w:type="pct"/>
            <w:shd w:val="clear" w:color="auto" w:fill="auto"/>
            <w:noWrap/>
            <w:vAlign w:val="center"/>
            <w:hideMark/>
          </w:tcPr>
          <w:p w14:paraId="17943EC5"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1.5.1</w:t>
            </w:r>
          </w:p>
        </w:tc>
        <w:tc>
          <w:tcPr>
            <w:tcW w:w="1258" w:type="pct"/>
            <w:shd w:val="clear" w:color="auto" w:fill="auto"/>
            <w:noWrap/>
            <w:vAlign w:val="center"/>
            <w:hideMark/>
          </w:tcPr>
          <w:p w14:paraId="2D38CD5B" w14:textId="77777777" w:rsidR="00E71ECE" w:rsidRPr="000D03B4" w:rsidRDefault="00E71ECE" w:rsidP="00A745DB">
            <w:pPr>
              <w:widowControl/>
              <w:adjustRightInd w:val="0"/>
              <w:snapToGrid w:val="0"/>
              <w:rPr>
                <w:rFonts w:eastAsiaTheme="majorEastAsia"/>
                <w:kern w:val="0"/>
                <w:sz w:val="18"/>
                <w:szCs w:val="18"/>
              </w:rPr>
            </w:pPr>
            <w:r w:rsidRPr="000D03B4">
              <w:rPr>
                <w:rFonts w:eastAsiaTheme="majorEastAsia"/>
                <w:kern w:val="0"/>
                <w:sz w:val="18"/>
                <w:szCs w:val="18"/>
              </w:rPr>
              <w:t>资产重组</w:t>
            </w:r>
          </w:p>
        </w:tc>
        <w:tc>
          <w:tcPr>
            <w:tcW w:w="2478" w:type="pct"/>
            <w:vMerge w:val="restart"/>
            <w:shd w:val="clear" w:color="auto" w:fill="auto"/>
            <w:vAlign w:val="center"/>
            <w:hideMark/>
          </w:tcPr>
          <w:p w14:paraId="2F3F811E" w14:textId="77777777" w:rsidR="00B57AF3" w:rsidRPr="000D03B4" w:rsidRDefault="00B57AF3" w:rsidP="00264E2B">
            <w:pPr>
              <w:widowControl/>
              <w:adjustRightInd w:val="0"/>
              <w:snapToGrid w:val="0"/>
              <w:jc w:val="left"/>
              <w:rPr>
                <w:kern w:val="0"/>
                <w:sz w:val="18"/>
                <w:szCs w:val="18"/>
              </w:rPr>
            </w:pPr>
            <w:r w:rsidRPr="000D03B4">
              <w:rPr>
                <w:kern w:val="0"/>
                <w:sz w:val="18"/>
                <w:szCs w:val="18"/>
              </w:rPr>
              <w:t>（</w:t>
            </w:r>
            <w:r w:rsidRPr="000D03B4">
              <w:rPr>
                <w:kern w:val="0"/>
                <w:sz w:val="18"/>
                <w:szCs w:val="18"/>
              </w:rPr>
              <w:t>1</w:t>
            </w:r>
            <w:r w:rsidRPr="000D03B4">
              <w:rPr>
                <w:kern w:val="0"/>
                <w:sz w:val="18"/>
                <w:szCs w:val="18"/>
              </w:rPr>
              <w:t>）《上市公司重大资产重组管理办法（</w:t>
            </w:r>
            <w:r w:rsidRPr="000D03B4">
              <w:rPr>
                <w:kern w:val="0"/>
                <w:sz w:val="18"/>
                <w:szCs w:val="18"/>
              </w:rPr>
              <w:t>2016</w:t>
            </w:r>
            <w:r w:rsidRPr="000D03B4">
              <w:rPr>
                <w:kern w:val="0"/>
                <w:sz w:val="18"/>
                <w:szCs w:val="18"/>
              </w:rPr>
              <w:t>年修订）》（证监会令第</w:t>
            </w:r>
            <w:r w:rsidRPr="000D03B4">
              <w:rPr>
                <w:kern w:val="0"/>
                <w:sz w:val="18"/>
                <w:szCs w:val="18"/>
              </w:rPr>
              <w:t>127</w:t>
            </w:r>
            <w:r w:rsidRPr="000D03B4">
              <w:rPr>
                <w:kern w:val="0"/>
                <w:sz w:val="18"/>
                <w:szCs w:val="18"/>
              </w:rPr>
              <w:t>号）；</w:t>
            </w:r>
          </w:p>
          <w:p w14:paraId="32492601" w14:textId="77777777" w:rsidR="00B57AF3" w:rsidRPr="000D03B4" w:rsidRDefault="00B57AF3" w:rsidP="00264E2B">
            <w:pPr>
              <w:widowControl/>
              <w:adjustRightInd w:val="0"/>
              <w:snapToGrid w:val="0"/>
              <w:jc w:val="left"/>
              <w:rPr>
                <w:kern w:val="0"/>
                <w:sz w:val="18"/>
                <w:szCs w:val="18"/>
              </w:rPr>
            </w:pPr>
            <w:r w:rsidRPr="000D03B4">
              <w:rPr>
                <w:kern w:val="0"/>
                <w:sz w:val="18"/>
                <w:szCs w:val="18"/>
              </w:rPr>
              <w:t>（</w:t>
            </w:r>
            <w:r w:rsidRPr="000D03B4">
              <w:rPr>
                <w:kern w:val="0"/>
                <w:sz w:val="18"/>
                <w:szCs w:val="18"/>
              </w:rPr>
              <w:t>2</w:t>
            </w:r>
            <w:r w:rsidRPr="000D03B4">
              <w:rPr>
                <w:kern w:val="0"/>
                <w:sz w:val="18"/>
                <w:szCs w:val="18"/>
              </w:rPr>
              <w:t>）《公开发行证券的公司信息披露内容与格式准则第</w:t>
            </w:r>
            <w:r w:rsidRPr="000D03B4">
              <w:rPr>
                <w:kern w:val="0"/>
                <w:sz w:val="18"/>
                <w:szCs w:val="18"/>
              </w:rPr>
              <w:t>26</w:t>
            </w:r>
            <w:r w:rsidRPr="000D03B4">
              <w:rPr>
                <w:kern w:val="0"/>
                <w:sz w:val="18"/>
                <w:szCs w:val="18"/>
              </w:rPr>
              <w:t>号</w:t>
            </w:r>
            <w:r w:rsidRPr="000D03B4">
              <w:rPr>
                <w:kern w:val="0"/>
                <w:sz w:val="18"/>
                <w:szCs w:val="18"/>
              </w:rPr>
              <w:t>——</w:t>
            </w:r>
            <w:r w:rsidRPr="000D03B4">
              <w:rPr>
                <w:kern w:val="0"/>
                <w:sz w:val="18"/>
                <w:szCs w:val="18"/>
              </w:rPr>
              <w:t>上市公司重大资产重组（</w:t>
            </w:r>
            <w:r w:rsidRPr="000D03B4">
              <w:rPr>
                <w:kern w:val="0"/>
                <w:sz w:val="18"/>
                <w:szCs w:val="18"/>
              </w:rPr>
              <w:t>2018</w:t>
            </w:r>
            <w:r w:rsidRPr="000D03B4">
              <w:rPr>
                <w:kern w:val="0"/>
                <w:sz w:val="18"/>
                <w:szCs w:val="18"/>
              </w:rPr>
              <w:t>年修订）》（证监会公告〔</w:t>
            </w:r>
            <w:r w:rsidRPr="000D03B4">
              <w:rPr>
                <w:kern w:val="0"/>
                <w:sz w:val="18"/>
                <w:szCs w:val="18"/>
              </w:rPr>
              <w:t>2018</w:t>
            </w:r>
            <w:r w:rsidRPr="000D03B4">
              <w:rPr>
                <w:kern w:val="0"/>
                <w:sz w:val="18"/>
                <w:szCs w:val="18"/>
              </w:rPr>
              <w:t>〕</w:t>
            </w:r>
            <w:r w:rsidRPr="000D03B4">
              <w:rPr>
                <w:kern w:val="0"/>
                <w:sz w:val="18"/>
                <w:szCs w:val="18"/>
              </w:rPr>
              <w:t>36</w:t>
            </w:r>
            <w:r w:rsidRPr="000D03B4">
              <w:rPr>
                <w:kern w:val="0"/>
                <w:sz w:val="18"/>
                <w:szCs w:val="18"/>
              </w:rPr>
              <w:t>号）；</w:t>
            </w:r>
          </w:p>
          <w:p w14:paraId="772AE1F7" w14:textId="06673C54" w:rsidR="00E71ECE" w:rsidRPr="000D03B4" w:rsidRDefault="00B57AF3" w:rsidP="00264E2B">
            <w:pPr>
              <w:widowControl/>
              <w:adjustRightInd w:val="0"/>
              <w:snapToGrid w:val="0"/>
              <w:jc w:val="left"/>
              <w:rPr>
                <w:rFonts w:eastAsiaTheme="majorEastAsia"/>
                <w:kern w:val="0"/>
                <w:sz w:val="18"/>
                <w:szCs w:val="18"/>
              </w:rPr>
            </w:pPr>
            <w:r w:rsidRPr="000D03B4">
              <w:rPr>
                <w:kern w:val="0"/>
                <w:sz w:val="18"/>
                <w:szCs w:val="18"/>
              </w:rPr>
              <w:t>（</w:t>
            </w:r>
            <w:r w:rsidRPr="000D03B4">
              <w:rPr>
                <w:kern w:val="0"/>
                <w:sz w:val="18"/>
                <w:szCs w:val="18"/>
              </w:rPr>
              <w:t>3</w:t>
            </w:r>
            <w:r w:rsidRPr="000D03B4">
              <w:rPr>
                <w:kern w:val="0"/>
                <w:sz w:val="18"/>
                <w:szCs w:val="18"/>
              </w:rPr>
              <w:t>）《上市公司收购管理办法》（证监会令第</w:t>
            </w:r>
            <w:r w:rsidRPr="000D03B4">
              <w:rPr>
                <w:kern w:val="0"/>
                <w:sz w:val="18"/>
                <w:szCs w:val="18"/>
              </w:rPr>
              <w:t>108</w:t>
            </w:r>
            <w:r w:rsidR="00C5397E" w:rsidRPr="000D03B4">
              <w:rPr>
                <w:kern w:val="0"/>
                <w:sz w:val="18"/>
                <w:szCs w:val="18"/>
              </w:rPr>
              <w:t>号）</w:t>
            </w:r>
            <w:r w:rsidR="00C91222">
              <w:rPr>
                <w:rFonts w:hint="eastAsia"/>
                <w:kern w:val="0"/>
                <w:sz w:val="18"/>
                <w:szCs w:val="18"/>
              </w:rPr>
              <w:t>等</w:t>
            </w:r>
            <w:r w:rsidR="00C5397E" w:rsidRPr="000D03B4">
              <w:rPr>
                <w:kern w:val="0"/>
                <w:sz w:val="18"/>
                <w:szCs w:val="18"/>
              </w:rPr>
              <w:t>。</w:t>
            </w:r>
          </w:p>
        </w:tc>
      </w:tr>
      <w:tr w:rsidR="00E71ECE" w:rsidRPr="000D03B4" w14:paraId="51187F85" w14:textId="77777777" w:rsidTr="00DE61FF">
        <w:trPr>
          <w:gridAfter w:val="1"/>
          <w:wAfter w:w="16" w:type="pct"/>
          <w:trHeight w:val="283"/>
        </w:trPr>
        <w:tc>
          <w:tcPr>
            <w:tcW w:w="242" w:type="pct"/>
            <w:shd w:val="clear" w:color="auto" w:fill="auto"/>
            <w:noWrap/>
            <w:vAlign w:val="center"/>
            <w:hideMark/>
          </w:tcPr>
          <w:p w14:paraId="7D8A658A"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45</w:t>
            </w:r>
          </w:p>
        </w:tc>
        <w:tc>
          <w:tcPr>
            <w:tcW w:w="204" w:type="pct"/>
            <w:vMerge/>
            <w:shd w:val="clear" w:color="auto" w:fill="auto"/>
            <w:vAlign w:val="center"/>
            <w:hideMark/>
          </w:tcPr>
          <w:p w14:paraId="0FF6D152" w14:textId="77777777" w:rsidR="00E71ECE" w:rsidRPr="000D03B4" w:rsidRDefault="00E71EC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0AC8FDD3" w14:textId="77777777" w:rsidR="00E71ECE" w:rsidRPr="000D03B4" w:rsidRDefault="00E71EC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BBE429F"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1.5.2</w:t>
            </w:r>
          </w:p>
        </w:tc>
        <w:tc>
          <w:tcPr>
            <w:tcW w:w="1258" w:type="pct"/>
            <w:shd w:val="clear" w:color="auto" w:fill="auto"/>
            <w:noWrap/>
            <w:vAlign w:val="center"/>
            <w:hideMark/>
          </w:tcPr>
          <w:p w14:paraId="2D0EA5BB" w14:textId="77777777" w:rsidR="00E71ECE" w:rsidRPr="000D03B4" w:rsidRDefault="00E71ECE" w:rsidP="00A745DB">
            <w:pPr>
              <w:widowControl/>
              <w:adjustRightInd w:val="0"/>
              <w:snapToGrid w:val="0"/>
              <w:rPr>
                <w:rFonts w:eastAsiaTheme="majorEastAsia"/>
                <w:kern w:val="0"/>
                <w:sz w:val="18"/>
                <w:szCs w:val="18"/>
              </w:rPr>
            </w:pPr>
            <w:r w:rsidRPr="000D03B4">
              <w:rPr>
                <w:rFonts w:eastAsiaTheme="majorEastAsia"/>
                <w:kern w:val="0"/>
                <w:sz w:val="18"/>
                <w:szCs w:val="18"/>
              </w:rPr>
              <w:t>业务重组</w:t>
            </w:r>
          </w:p>
        </w:tc>
        <w:tc>
          <w:tcPr>
            <w:tcW w:w="2478" w:type="pct"/>
            <w:vMerge/>
            <w:shd w:val="clear" w:color="auto" w:fill="auto"/>
            <w:vAlign w:val="center"/>
            <w:hideMark/>
          </w:tcPr>
          <w:p w14:paraId="25F8B3DA" w14:textId="77777777" w:rsidR="00E71ECE" w:rsidRPr="000D03B4" w:rsidRDefault="00E71ECE" w:rsidP="00264E2B">
            <w:pPr>
              <w:widowControl/>
              <w:adjustRightInd w:val="0"/>
              <w:snapToGrid w:val="0"/>
              <w:jc w:val="left"/>
              <w:rPr>
                <w:rFonts w:eastAsiaTheme="majorEastAsia"/>
                <w:kern w:val="0"/>
                <w:sz w:val="18"/>
                <w:szCs w:val="18"/>
              </w:rPr>
            </w:pPr>
          </w:p>
        </w:tc>
      </w:tr>
      <w:tr w:rsidR="00E71ECE" w:rsidRPr="000D03B4" w14:paraId="062985DA" w14:textId="77777777" w:rsidTr="00DE61FF">
        <w:trPr>
          <w:gridAfter w:val="1"/>
          <w:wAfter w:w="16" w:type="pct"/>
          <w:trHeight w:val="283"/>
        </w:trPr>
        <w:tc>
          <w:tcPr>
            <w:tcW w:w="242" w:type="pct"/>
            <w:shd w:val="clear" w:color="auto" w:fill="auto"/>
            <w:noWrap/>
            <w:vAlign w:val="center"/>
            <w:hideMark/>
          </w:tcPr>
          <w:p w14:paraId="33E0FC8A"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46</w:t>
            </w:r>
          </w:p>
        </w:tc>
        <w:tc>
          <w:tcPr>
            <w:tcW w:w="204" w:type="pct"/>
            <w:vMerge/>
            <w:shd w:val="clear" w:color="auto" w:fill="auto"/>
            <w:vAlign w:val="center"/>
            <w:hideMark/>
          </w:tcPr>
          <w:p w14:paraId="49B1ADEA" w14:textId="77777777" w:rsidR="00E71ECE" w:rsidRPr="000D03B4" w:rsidRDefault="00E71EC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069C26C" w14:textId="77777777" w:rsidR="00E71ECE" w:rsidRPr="000D03B4" w:rsidRDefault="00E71EC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34548FF6"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1.5.3</w:t>
            </w:r>
          </w:p>
        </w:tc>
        <w:tc>
          <w:tcPr>
            <w:tcW w:w="1258" w:type="pct"/>
            <w:shd w:val="clear" w:color="auto" w:fill="auto"/>
            <w:noWrap/>
            <w:vAlign w:val="center"/>
            <w:hideMark/>
          </w:tcPr>
          <w:p w14:paraId="2B23AB55" w14:textId="77777777" w:rsidR="00E71ECE" w:rsidRPr="000D03B4" w:rsidRDefault="00E71ECE" w:rsidP="00A745DB">
            <w:pPr>
              <w:widowControl/>
              <w:adjustRightInd w:val="0"/>
              <w:snapToGrid w:val="0"/>
              <w:rPr>
                <w:rFonts w:eastAsiaTheme="majorEastAsia"/>
                <w:kern w:val="0"/>
                <w:sz w:val="18"/>
                <w:szCs w:val="18"/>
              </w:rPr>
            </w:pPr>
            <w:r w:rsidRPr="000D03B4">
              <w:rPr>
                <w:rFonts w:eastAsiaTheme="majorEastAsia"/>
                <w:kern w:val="0"/>
                <w:sz w:val="18"/>
                <w:szCs w:val="18"/>
              </w:rPr>
              <w:t>发行股份购买资产</w:t>
            </w:r>
          </w:p>
        </w:tc>
        <w:tc>
          <w:tcPr>
            <w:tcW w:w="2478" w:type="pct"/>
            <w:vMerge/>
            <w:shd w:val="clear" w:color="auto" w:fill="auto"/>
            <w:vAlign w:val="center"/>
            <w:hideMark/>
          </w:tcPr>
          <w:p w14:paraId="1270A2FD" w14:textId="77777777" w:rsidR="00E71ECE" w:rsidRPr="000D03B4" w:rsidRDefault="00E71ECE" w:rsidP="00264E2B">
            <w:pPr>
              <w:widowControl/>
              <w:adjustRightInd w:val="0"/>
              <w:snapToGrid w:val="0"/>
              <w:jc w:val="left"/>
              <w:rPr>
                <w:rFonts w:eastAsiaTheme="majorEastAsia"/>
                <w:kern w:val="0"/>
                <w:sz w:val="18"/>
                <w:szCs w:val="18"/>
              </w:rPr>
            </w:pPr>
          </w:p>
        </w:tc>
      </w:tr>
      <w:tr w:rsidR="00E71ECE" w:rsidRPr="000D03B4" w14:paraId="1A30E6F4" w14:textId="77777777" w:rsidTr="00DE61FF">
        <w:trPr>
          <w:gridAfter w:val="1"/>
          <w:wAfter w:w="16" w:type="pct"/>
          <w:trHeight w:val="283"/>
        </w:trPr>
        <w:tc>
          <w:tcPr>
            <w:tcW w:w="242" w:type="pct"/>
            <w:shd w:val="clear" w:color="auto" w:fill="auto"/>
            <w:noWrap/>
            <w:vAlign w:val="center"/>
            <w:hideMark/>
          </w:tcPr>
          <w:p w14:paraId="0200A9AE"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47</w:t>
            </w:r>
          </w:p>
        </w:tc>
        <w:tc>
          <w:tcPr>
            <w:tcW w:w="204" w:type="pct"/>
            <w:vMerge/>
            <w:shd w:val="clear" w:color="auto" w:fill="auto"/>
            <w:vAlign w:val="center"/>
            <w:hideMark/>
          </w:tcPr>
          <w:p w14:paraId="61635FAB" w14:textId="77777777" w:rsidR="00E71ECE" w:rsidRPr="000D03B4" w:rsidRDefault="00E71EC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C5A10BE" w14:textId="77777777" w:rsidR="00E71ECE" w:rsidRPr="000D03B4" w:rsidRDefault="00E71EC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64118E5"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1.5.4</w:t>
            </w:r>
          </w:p>
        </w:tc>
        <w:tc>
          <w:tcPr>
            <w:tcW w:w="1258" w:type="pct"/>
            <w:shd w:val="clear" w:color="auto" w:fill="auto"/>
            <w:noWrap/>
            <w:vAlign w:val="center"/>
            <w:hideMark/>
          </w:tcPr>
          <w:p w14:paraId="6A64FB28" w14:textId="77777777" w:rsidR="00E71ECE" w:rsidRPr="000D03B4" w:rsidRDefault="00E71ECE" w:rsidP="00A745DB">
            <w:pPr>
              <w:widowControl/>
              <w:adjustRightInd w:val="0"/>
              <w:snapToGrid w:val="0"/>
              <w:rPr>
                <w:rFonts w:eastAsiaTheme="majorEastAsia"/>
                <w:kern w:val="0"/>
                <w:sz w:val="18"/>
                <w:szCs w:val="18"/>
              </w:rPr>
            </w:pPr>
            <w:r w:rsidRPr="000D03B4">
              <w:rPr>
                <w:rFonts w:eastAsiaTheme="majorEastAsia"/>
                <w:kern w:val="0"/>
                <w:sz w:val="18"/>
                <w:szCs w:val="18"/>
              </w:rPr>
              <w:t>定向增发</w:t>
            </w:r>
          </w:p>
        </w:tc>
        <w:tc>
          <w:tcPr>
            <w:tcW w:w="2478" w:type="pct"/>
            <w:vMerge/>
            <w:shd w:val="clear" w:color="auto" w:fill="auto"/>
            <w:vAlign w:val="center"/>
            <w:hideMark/>
          </w:tcPr>
          <w:p w14:paraId="3F0411EF" w14:textId="77777777" w:rsidR="00E71ECE" w:rsidRPr="000D03B4" w:rsidRDefault="00E71ECE" w:rsidP="00264E2B">
            <w:pPr>
              <w:widowControl/>
              <w:adjustRightInd w:val="0"/>
              <w:snapToGrid w:val="0"/>
              <w:jc w:val="left"/>
              <w:rPr>
                <w:rFonts w:eastAsiaTheme="majorEastAsia"/>
                <w:kern w:val="0"/>
                <w:sz w:val="18"/>
                <w:szCs w:val="18"/>
              </w:rPr>
            </w:pPr>
          </w:p>
        </w:tc>
      </w:tr>
      <w:tr w:rsidR="00E71ECE" w:rsidRPr="000D03B4" w14:paraId="16DDD4F9" w14:textId="77777777" w:rsidTr="00DE61FF">
        <w:trPr>
          <w:gridAfter w:val="1"/>
          <w:wAfter w:w="16" w:type="pct"/>
          <w:trHeight w:val="283"/>
        </w:trPr>
        <w:tc>
          <w:tcPr>
            <w:tcW w:w="242" w:type="pct"/>
            <w:shd w:val="clear" w:color="auto" w:fill="auto"/>
            <w:noWrap/>
            <w:vAlign w:val="center"/>
            <w:hideMark/>
          </w:tcPr>
          <w:p w14:paraId="6118CC0C"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48</w:t>
            </w:r>
          </w:p>
        </w:tc>
        <w:tc>
          <w:tcPr>
            <w:tcW w:w="204" w:type="pct"/>
            <w:vMerge/>
            <w:shd w:val="clear" w:color="auto" w:fill="auto"/>
            <w:vAlign w:val="center"/>
            <w:hideMark/>
          </w:tcPr>
          <w:p w14:paraId="5B8C2B49" w14:textId="77777777" w:rsidR="00E71ECE" w:rsidRPr="000D03B4" w:rsidRDefault="00E71EC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B6565C3" w14:textId="77777777" w:rsidR="00E71ECE" w:rsidRPr="000D03B4" w:rsidRDefault="00E71EC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BFDC64D"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1.5.5</w:t>
            </w:r>
          </w:p>
        </w:tc>
        <w:tc>
          <w:tcPr>
            <w:tcW w:w="1258" w:type="pct"/>
            <w:shd w:val="clear" w:color="auto" w:fill="auto"/>
            <w:noWrap/>
            <w:vAlign w:val="center"/>
            <w:hideMark/>
          </w:tcPr>
          <w:p w14:paraId="01AD575C" w14:textId="77777777" w:rsidR="00E71ECE" w:rsidRPr="000D03B4" w:rsidRDefault="00E71ECE" w:rsidP="00A745DB">
            <w:pPr>
              <w:widowControl/>
              <w:adjustRightInd w:val="0"/>
              <w:snapToGrid w:val="0"/>
              <w:rPr>
                <w:rFonts w:eastAsiaTheme="majorEastAsia"/>
                <w:kern w:val="0"/>
                <w:sz w:val="18"/>
                <w:szCs w:val="18"/>
              </w:rPr>
            </w:pPr>
            <w:r w:rsidRPr="000D03B4">
              <w:rPr>
                <w:rFonts w:eastAsiaTheme="majorEastAsia"/>
                <w:kern w:val="0"/>
                <w:sz w:val="18"/>
                <w:szCs w:val="18"/>
              </w:rPr>
              <w:t>重大资产重组</w:t>
            </w:r>
          </w:p>
        </w:tc>
        <w:tc>
          <w:tcPr>
            <w:tcW w:w="2478" w:type="pct"/>
            <w:shd w:val="clear" w:color="auto" w:fill="auto"/>
            <w:vAlign w:val="center"/>
            <w:hideMark/>
          </w:tcPr>
          <w:p w14:paraId="71FD20BD" w14:textId="21DB3769" w:rsidR="00E71ECE" w:rsidRPr="000D03B4" w:rsidRDefault="00E71ECE" w:rsidP="00264E2B">
            <w:pPr>
              <w:widowControl/>
              <w:adjustRightInd w:val="0"/>
              <w:snapToGrid w:val="0"/>
              <w:jc w:val="left"/>
              <w:rPr>
                <w:rFonts w:eastAsiaTheme="majorEastAsia"/>
                <w:kern w:val="0"/>
                <w:sz w:val="18"/>
                <w:szCs w:val="18"/>
              </w:rPr>
            </w:pPr>
            <w:r w:rsidRPr="000D03B4">
              <w:rPr>
                <w:rFonts w:eastAsiaTheme="majorEastAsia"/>
                <w:kern w:val="0"/>
                <w:sz w:val="18"/>
                <w:szCs w:val="18"/>
              </w:rPr>
              <w:t>《非上市公众公司重大资产重组管理办法》（证监会令第</w:t>
            </w:r>
            <w:r w:rsidRPr="000D03B4">
              <w:rPr>
                <w:rFonts w:eastAsiaTheme="majorEastAsia"/>
                <w:kern w:val="0"/>
                <w:sz w:val="18"/>
                <w:szCs w:val="18"/>
              </w:rPr>
              <w:t>103</w:t>
            </w:r>
            <w:r w:rsidRPr="000D03B4">
              <w:rPr>
                <w:rFonts w:eastAsiaTheme="majorEastAsia"/>
                <w:kern w:val="0"/>
                <w:sz w:val="18"/>
                <w:szCs w:val="18"/>
              </w:rPr>
              <w:t>号）</w:t>
            </w:r>
          </w:p>
        </w:tc>
      </w:tr>
      <w:tr w:rsidR="00E71ECE" w:rsidRPr="000D03B4" w14:paraId="0652828D" w14:textId="77777777" w:rsidTr="00DE61FF">
        <w:trPr>
          <w:gridAfter w:val="1"/>
          <w:wAfter w:w="16" w:type="pct"/>
          <w:trHeight w:val="283"/>
        </w:trPr>
        <w:tc>
          <w:tcPr>
            <w:tcW w:w="242" w:type="pct"/>
            <w:shd w:val="clear" w:color="auto" w:fill="auto"/>
            <w:noWrap/>
            <w:vAlign w:val="center"/>
            <w:hideMark/>
          </w:tcPr>
          <w:p w14:paraId="5740047C"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49</w:t>
            </w:r>
          </w:p>
        </w:tc>
        <w:tc>
          <w:tcPr>
            <w:tcW w:w="204" w:type="pct"/>
            <w:vMerge/>
            <w:shd w:val="clear" w:color="auto" w:fill="auto"/>
            <w:vAlign w:val="center"/>
            <w:hideMark/>
          </w:tcPr>
          <w:p w14:paraId="62A0338E" w14:textId="77777777" w:rsidR="00E71ECE" w:rsidRPr="000D03B4" w:rsidRDefault="00E71ECE"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6E6B1F1" w14:textId="77777777" w:rsidR="00E71ECE" w:rsidRPr="000D03B4" w:rsidRDefault="00E71ECE"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4B453ED8" w14:textId="77777777"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1.5.6</w:t>
            </w:r>
          </w:p>
        </w:tc>
        <w:tc>
          <w:tcPr>
            <w:tcW w:w="1258" w:type="pct"/>
            <w:shd w:val="clear" w:color="auto" w:fill="auto"/>
            <w:noWrap/>
            <w:vAlign w:val="center"/>
            <w:hideMark/>
          </w:tcPr>
          <w:p w14:paraId="3A88CB92" w14:textId="77777777" w:rsidR="00E71ECE" w:rsidRPr="000D03B4" w:rsidRDefault="00E71ECE" w:rsidP="00A745DB">
            <w:pPr>
              <w:widowControl/>
              <w:adjustRightInd w:val="0"/>
              <w:snapToGrid w:val="0"/>
              <w:rPr>
                <w:rFonts w:eastAsiaTheme="majorEastAsia"/>
                <w:kern w:val="0"/>
                <w:sz w:val="18"/>
                <w:szCs w:val="18"/>
              </w:rPr>
            </w:pPr>
            <w:r w:rsidRPr="000D03B4">
              <w:rPr>
                <w:rFonts w:eastAsiaTheme="majorEastAsia"/>
                <w:kern w:val="0"/>
                <w:sz w:val="18"/>
                <w:szCs w:val="18"/>
              </w:rPr>
              <w:t>收购资产</w:t>
            </w:r>
          </w:p>
        </w:tc>
        <w:tc>
          <w:tcPr>
            <w:tcW w:w="2478" w:type="pct"/>
            <w:shd w:val="clear" w:color="auto" w:fill="auto"/>
            <w:vAlign w:val="center"/>
            <w:hideMark/>
          </w:tcPr>
          <w:p w14:paraId="2CF6777B" w14:textId="12FCD98E" w:rsidR="00E71ECE" w:rsidRPr="000D03B4" w:rsidRDefault="00E71ECE" w:rsidP="00264E2B">
            <w:pPr>
              <w:widowControl/>
              <w:adjustRightInd w:val="0"/>
              <w:snapToGrid w:val="0"/>
              <w:jc w:val="left"/>
              <w:rPr>
                <w:rFonts w:eastAsiaTheme="majorEastAsia"/>
                <w:kern w:val="0"/>
                <w:sz w:val="18"/>
                <w:szCs w:val="18"/>
              </w:rPr>
            </w:pPr>
            <w:r w:rsidRPr="000D03B4">
              <w:rPr>
                <w:rFonts w:eastAsiaTheme="majorEastAsia"/>
                <w:kern w:val="0"/>
                <w:sz w:val="18"/>
                <w:szCs w:val="18"/>
              </w:rPr>
              <w:t>《非上市公众公司收购管理办法》（证监会令第</w:t>
            </w:r>
            <w:r w:rsidRPr="000D03B4">
              <w:rPr>
                <w:rFonts w:eastAsiaTheme="majorEastAsia"/>
                <w:kern w:val="0"/>
                <w:sz w:val="18"/>
                <w:szCs w:val="18"/>
              </w:rPr>
              <w:t>102</w:t>
            </w:r>
            <w:r w:rsidRPr="000D03B4">
              <w:rPr>
                <w:rFonts w:eastAsiaTheme="majorEastAsia"/>
                <w:kern w:val="0"/>
                <w:sz w:val="18"/>
                <w:szCs w:val="18"/>
              </w:rPr>
              <w:t>号）</w:t>
            </w:r>
          </w:p>
        </w:tc>
      </w:tr>
      <w:tr w:rsidR="00833047" w:rsidRPr="000D03B4" w14:paraId="313434FC" w14:textId="77777777" w:rsidTr="00DE61FF">
        <w:trPr>
          <w:gridAfter w:val="1"/>
          <w:wAfter w:w="16" w:type="pct"/>
          <w:trHeight w:val="1107"/>
        </w:trPr>
        <w:tc>
          <w:tcPr>
            <w:tcW w:w="242" w:type="pct"/>
            <w:shd w:val="clear" w:color="auto" w:fill="auto"/>
            <w:noWrap/>
            <w:vAlign w:val="center"/>
          </w:tcPr>
          <w:p w14:paraId="680BC57D" w14:textId="61DAA313"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50</w:t>
            </w:r>
          </w:p>
        </w:tc>
        <w:tc>
          <w:tcPr>
            <w:tcW w:w="204" w:type="pct"/>
            <w:vMerge/>
            <w:shd w:val="clear" w:color="auto" w:fill="auto"/>
            <w:noWrap/>
            <w:vAlign w:val="center"/>
          </w:tcPr>
          <w:p w14:paraId="26A435B0" w14:textId="77777777" w:rsidR="00E71ECE" w:rsidRPr="000D03B4" w:rsidRDefault="00E71ECE" w:rsidP="00A745DB">
            <w:pPr>
              <w:widowControl/>
              <w:adjustRightInd w:val="0"/>
              <w:snapToGrid w:val="0"/>
              <w:jc w:val="center"/>
              <w:rPr>
                <w:rFonts w:eastAsiaTheme="majorEastAsia"/>
                <w:kern w:val="0"/>
                <w:sz w:val="18"/>
                <w:szCs w:val="18"/>
              </w:rPr>
            </w:pPr>
          </w:p>
        </w:tc>
        <w:tc>
          <w:tcPr>
            <w:tcW w:w="449" w:type="pct"/>
            <w:vMerge/>
            <w:shd w:val="clear" w:color="auto" w:fill="auto"/>
            <w:noWrap/>
            <w:vAlign w:val="center"/>
          </w:tcPr>
          <w:p w14:paraId="04AC5C49" w14:textId="77777777" w:rsidR="00E71ECE" w:rsidRPr="000D03B4" w:rsidRDefault="00E71ECE" w:rsidP="00A745DB">
            <w:pPr>
              <w:widowControl/>
              <w:adjustRightInd w:val="0"/>
              <w:snapToGrid w:val="0"/>
              <w:jc w:val="center"/>
              <w:rPr>
                <w:rFonts w:eastAsiaTheme="majorEastAsia"/>
                <w:kern w:val="0"/>
                <w:sz w:val="18"/>
                <w:szCs w:val="18"/>
              </w:rPr>
            </w:pPr>
          </w:p>
        </w:tc>
        <w:tc>
          <w:tcPr>
            <w:tcW w:w="353" w:type="pct"/>
            <w:shd w:val="clear" w:color="auto" w:fill="auto"/>
            <w:noWrap/>
            <w:vAlign w:val="center"/>
          </w:tcPr>
          <w:p w14:paraId="635D0A99" w14:textId="21D17AA0" w:rsidR="00E71ECE" w:rsidRPr="000D03B4" w:rsidRDefault="00E71ECE"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1.5.7</w:t>
            </w:r>
          </w:p>
        </w:tc>
        <w:tc>
          <w:tcPr>
            <w:tcW w:w="1258" w:type="pct"/>
            <w:shd w:val="clear" w:color="auto" w:fill="auto"/>
            <w:noWrap/>
            <w:vAlign w:val="center"/>
          </w:tcPr>
          <w:p w14:paraId="036C84A0" w14:textId="07BEC5E1" w:rsidR="00E71ECE" w:rsidRPr="000D03B4" w:rsidRDefault="00E71ECE" w:rsidP="00575F24">
            <w:pPr>
              <w:widowControl/>
              <w:adjustRightInd w:val="0"/>
              <w:snapToGrid w:val="0"/>
              <w:rPr>
                <w:rFonts w:eastAsiaTheme="majorEastAsia"/>
                <w:kern w:val="0"/>
                <w:sz w:val="18"/>
                <w:szCs w:val="18"/>
              </w:rPr>
            </w:pPr>
            <w:r w:rsidRPr="000D03B4">
              <w:rPr>
                <w:rFonts w:eastAsiaTheme="majorEastAsia"/>
                <w:kern w:val="0"/>
                <w:sz w:val="18"/>
                <w:szCs w:val="18"/>
              </w:rPr>
              <w:t>外国投资者对上市公司战略投资</w:t>
            </w:r>
          </w:p>
        </w:tc>
        <w:tc>
          <w:tcPr>
            <w:tcW w:w="2478" w:type="pct"/>
            <w:shd w:val="clear" w:color="auto" w:fill="auto"/>
            <w:vAlign w:val="center"/>
          </w:tcPr>
          <w:p w14:paraId="752896F5" w14:textId="61EED0EA" w:rsidR="00E71ECE" w:rsidRPr="000D03B4" w:rsidRDefault="00E71ECE"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《外国投资者对上市公司战略投资管理办法》（商务部、中国证券监督管理委员会、国家税务总局、国家工商行政管理总局、国家外汇管理局令第</w:t>
            </w:r>
            <w:r w:rsidRPr="000D03B4">
              <w:rPr>
                <w:rFonts w:eastAsiaTheme="majorEastAsia"/>
                <w:kern w:val="0"/>
                <w:sz w:val="18"/>
                <w:szCs w:val="18"/>
              </w:rPr>
              <w:t>28</w:t>
            </w:r>
            <w:r w:rsidRPr="000D03B4">
              <w:rPr>
                <w:rFonts w:eastAsiaTheme="majorEastAsia"/>
                <w:kern w:val="0"/>
                <w:sz w:val="18"/>
                <w:szCs w:val="18"/>
              </w:rPr>
              <w:t>号</w:t>
            </w:r>
            <w:r w:rsidRPr="000D03B4">
              <w:rPr>
                <w:rFonts w:eastAsiaTheme="majorEastAsia"/>
                <w:kern w:val="0"/>
                <w:sz w:val="18"/>
                <w:szCs w:val="18"/>
              </w:rPr>
              <w:t xml:space="preserve"> </w:t>
            </w:r>
            <w:r w:rsidRPr="000D03B4">
              <w:rPr>
                <w:rFonts w:eastAsiaTheme="majorEastAsia"/>
                <w:kern w:val="0"/>
                <w:sz w:val="18"/>
                <w:szCs w:val="18"/>
              </w:rPr>
              <w:t>根据商务部令</w:t>
            </w:r>
            <w:r w:rsidRPr="000D03B4">
              <w:rPr>
                <w:rFonts w:eastAsiaTheme="majorEastAsia"/>
                <w:kern w:val="0"/>
                <w:sz w:val="18"/>
                <w:szCs w:val="18"/>
              </w:rPr>
              <w:t>2015</w:t>
            </w:r>
            <w:r w:rsidRPr="000D03B4">
              <w:rPr>
                <w:rFonts w:eastAsiaTheme="majorEastAsia"/>
                <w:kern w:val="0"/>
                <w:sz w:val="18"/>
                <w:szCs w:val="18"/>
              </w:rPr>
              <w:t>年第</w:t>
            </w:r>
            <w:r w:rsidRPr="000D03B4">
              <w:rPr>
                <w:rFonts w:eastAsiaTheme="majorEastAsia"/>
                <w:kern w:val="0"/>
                <w:sz w:val="18"/>
                <w:szCs w:val="18"/>
              </w:rPr>
              <w:t>2</w:t>
            </w:r>
            <w:r w:rsidRPr="000D03B4">
              <w:rPr>
                <w:rFonts w:eastAsiaTheme="majorEastAsia"/>
                <w:kern w:val="0"/>
                <w:sz w:val="18"/>
                <w:szCs w:val="18"/>
              </w:rPr>
              <w:t>号《商务部关于修改部分规章和规范性文件的决定》修正）</w:t>
            </w:r>
          </w:p>
        </w:tc>
      </w:tr>
      <w:tr w:rsidR="00D95167" w:rsidRPr="000D03B4" w14:paraId="3DC6E054" w14:textId="77777777" w:rsidTr="00DE61FF">
        <w:trPr>
          <w:gridAfter w:val="1"/>
          <w:wAfter w:w="16" w:type="pct"/>
          <w:trHeight w:val="283"/>
        </w:trPr>
        <w:tc>
          <w:tcPr>
            <w:tcW w:w="242" w:type="pct"/>
            <w:shd w:val="clear" w:color="auto" w:fill="auto"/>
            <w:noWrap/>
            <w:vAlign w:val="center"/>
            <w:hideMark/>
          </w:tcPr>
          <w:p w14:paraId="26671F09" w14:textId="085DFDAE" w:rsidR="00D95167" w:rsidRPr="000D03B4" w:rsidRDefault="00D95167"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N51</w:t>
            </w:r>
          </w:p>
        </w:tc>
        <w:tc>
          <w:tcPr>
            <w:tcW w:w="204" w:type="pct"/>
            <w:vMerge w:val="restart"/>
            <w:shd w:val="clear" w:color="auto" w:fill="auto"/>
            <w:noWrap/>
            <w:vAlign w:val="center"/>
            <w:hideMark/>
          </w:tcPr>
          <w:p w14:paraId="711C6A94" w14:textId="77777777" w:rsidR="00D95167" w:rsidRPr="000D03B4" w:rsidRDefault="00D951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1.6</w:t>
            </w:r>
          </w:p>
        </w:tc>
        <w:tc>
          <w:tcPr>
            <w:tcW w:w="449" w:type="pct"/>
            <w:vMerge w:val="restart"/>
            <w:shd w:val="clear" w:color="auto" w:fill="auto"/>
            <w:noWrap/>
            <w:vAlign w:val="center"/>
            <w:hideMark/>
          </w:tcPr>
          <w:p w14:paraId="6A31A94C" w14:textId="77777777" w:rsidR="00D95167" w:rsidRPr="000D03B4" w:rsidRDefault="00D951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行政事业单位</w:t>
            </w:r>
          </w:p>
        </w:tc>
        <w:tc>
          <w:tcPr>
            <w:tcW w:w="353" w:type="pct"/>
            <w:shd w:val="clear" w:color="auto" w:fill="auto"/>
            <w:noWrap/>
            <w:vAlign w:val="center"/>
            <w:hideMark/>
          </w:tcPr>
          <w:p w14:paraId="0E38BA47" w14:textId="77777777" w:rsidR="00D95167" w:rsidRPr="000D03B4" w:rsidRDefault="00D951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1.6.1</w:t>
            </w:r>
          </w:p>
        </w:tc>
        <w:tc>
          <w:tcPr>
            <w:tcW w:w="1258" w:type="pct"/>
            <w:shd w:val="clear" w:color="auto" w:fill="auto"/>
            <w:noWrap/>
            <w:vAlign w:val="center"/>
            <w:hideMark/>
          </w:tcPr>
          <w:p w14:paraId="314EFE53" w14:textId="77777777" w:rsidR="00D95167" w:rsidRPr="000D03B4" w:rsidRDefault="00D95167" w:rsidP="00A745DB">
            <w:pPr>
              <w:widowControl/>
              <w:adjustRightInd w:val="0"/>
              <w:snapToGrid w:val="0"/>
              <w:rPr>
                <w:rFonts w:eastAsiaTheme="majorEastAsia"/>
                <w:kern w:val="0"/>
                <w:sz w:val="18"/>
                <w:szCs w:val="18"/>
              </w:rPr>
            </w:pPr>
            <w:r w:rsidRPr="000D03B4">
              <w:rPr>
                <w:rFonts w:eastAsiaTheme="majorEastAsia"/>
                <w:kern w:val="0"/>
                <w:sz w:val="18"/>
                <w:szCs w:val="18"/>
              </w:rPr>
              <w:t>资产清查</w:t>
            </w:r>
          </w:p>
        </w:tc>
        <w:tc>
          <w:tcPr>
            <w:tcW w:w="2478" w:type="pct"/>
            <w:vMerge w:val="restart"/>
            <w:shd w:val="clear" w:color="auto" w:fill="auto"/>
            <w:vAlign w:val="center"/>
            <w:hideMark/>
          </w:tcPr>
          <w:p w14:paraId="3E7F8966" w14:textId="77777777" w:rsidR="00D95167" w:rsidRPr="000D03B4" w:rsidRDefault="00D951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《关于从事生产经营活动事业单位改革中国有资产管理的若干规定》（财资〔</w:t>
            </w:r>
            <w:r w:rsidRPr="000D03B4">
              <w:rPr>
                <w:rFonts w:eastAsiaTheme="majorEastAsia"/>
                <w:kern w:val="0"/>
                <w:sz w:val="18"/>
                <w:szCs w:val="18"/>
              </w:rPr>
              <w:t>2017</w:t>
            </w:r>
            <w:r w:rsidRPr="000D03B4">
              <w:rPr>
                <w:rFonts w:eastAsiaTheme="majorEastAsia"/>
                <w:kern w:val="0"/>
                <w:sz w:val="18"/>
                <w:szCs w:val="18"/>
              </w:rPr>
              <w:t>〕</w:t>
            </w:r>
            <w:r w:rsidRPr="000D03B4">
              <w:rPr>
                <w:rFonts w:eastAsiaTheme="majorEastAsia"/>
                <w:kern w:val="0"/>
                <w:sz w:val="18"/>
                <w:szCs w:val="18"/>
              </w:rPr>
              <w:t>13</w:t>
            </w:r>
            <w:r w:rsidRPr="000D03B4">
              <w:rPr>
                <w:rFonts w:eastAsiaTheme="majorEastAsia"/>
                <w:kern w:val="0"/>
                <w:sz w:val="18"/>
                <w:szCs w:val="18"/>
              </w:rPr>
              <w:t>号）</w:t>
            </w:r>
          </w:p>
        </w:tc>
      </w:tr>
      <w:tr w:rsidR="00D95167" w:rsidRPr="000D03B4" w14:paraId="40D77323" w14:textId="77777777" w:rsidTr="00DE61FF">
        <w:trPr>
          <w:gridAfter w:val="1"/>
          <w:wAfter w:w="16" w:type="pct"/>
          <w:trHeight w:val="283"/>
        </w:trPr>
        <w:tc>
          <w:tcPr>
            <w:tcW w:w="242" w:type="pct"/>
            <w:shd w:val="clear" w:color="auto" w:fill="auto"/>
            <w:noWrap/>
            <w:vAlign w:val="center"/>
            <w:hideMark/>
          </w:tcPr>
          <w:p w14:paraId="1198BAEE" w14:textId="6FAC21D6" w:rsidR="00D95167" w:rsidRPr="000D03B4" w:rsidRDefault="00D95167"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N52</w:t>
            </w:r>
          </w:p>
        </w:tc>
        <w:tc>
          <w:tcPr>
            <w:tcW w:w="204" w:type="pct"/>
            <w:vMerge/>
            <w:shd w:val="clear" w:color="auto" w:fill="auto"/>
            <w:vAlign w:val="center"/>
            <w:hideMark/>
          </w:tcPr>
          <w:p w14:paraId="00DE0699" w14:textId="77777777" w:rsidR="00D95167" w:rsidRPr="000D03B4" w:rsidRDefault="00D951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60AFCB62" w14:textId="77777777" w:rsidR="00D95167" w:rsidRPr="000D03B4" w:rsidRDefault="00D951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31A6A75" w14:textId="77777777" w:rsidR="00D95167" w:rsidRPr="000D03B4" w:rsidRDefault="00D951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1.6.2</w:t>
            </w:r>
          </w:p>
        </w:tc>
        <w:tc>
          <w:tcPr>
            <w:tcW w:w="1258" w:type="pct"/>
            <w:shd w:val="clear" w:color="auto" w:fill="auto"/>
            <w:noWrap/>
            <w:vAlign w:val="center"/>
            <w:hideMark/>
          </w:tcPr>
          <w:p w14:paraId="3772F979" w14:textId="77777777" w:rsidR="00D95167" w:rsidRPr="000D03B4" w:rsidRDefault="00D95167" w:rsidP="00A745DB">
            <w:pPr>
              <w:widowControl/>
              <w:adjustRightInd w:val="0"/>
              <w:snapToGrid w:val="0"/>
              <w:rPr>
                <w:rFonts w:eastAsiaTheme="majorEastAsia"/>
                <w:kern w:val="0"/>
                <w:sz w:val="18"/>
                <w:szCs w:val="18"/>
              </w:rPr>
            </w:pPr>
            <w:r w:rsidRPr="000D03B4">
              <w:rPr>
                <w:rFonts w:eastAsiaTheme="majorEastAsia"/>
                <w:kern w:val="0"/>
                <w:sz w:val="18"/>
                <w:szCs w:val="18"/>
              </w:rPr>
              <w:t>经营类事业单位整体或部分改制为有限责任公司或者股份有限公司</w:t>
            </w:r>
          </w:p>
        </w:tc>
        <w:tc>
          <w:tcPr>
            <w:tcW w:w="2478" w:type="pct"/>
            <w:vMerge/>
            <w:shd w:val="clear" w:color="auto" w:fill="auto"/>
            <w:vAlign w:val="center"/>
            <w:hideMark/>
          </w:tcPr>
          <w:p w14:paraId="50D9712C" w14:textId="77777777" w:rsidR="00D95167" w:rsidRPr="000D03B4" w:rsidRDefault="00D95167" w:rsidP="00264E2B">
            <w:pPr>
              <w:widowControl/>
              <w:adjustRightInd w:val="0"/>
              <w:snapToGrid w:val="0"/>
              <w:jc w:val="left"/>
              <w:rPr>
                <w:rFonts w:eastAsiaTheme="majorEastAsia"/>
                <w:kern w:val="0"/>
                <w:sz w:val="18"/>
                <w:szCs w:val="18"/>
              </w:rPr>
            </w:pPr>
          </w:p>
        </w:tc>
      </w:tr>
      <w:tr w:rsidR="00D95167" w:rsidRPr="000D03B4" w14:paraId="545286A9" w14:textId="77777777" w:rsidTr="00DE61FF">
        <w:trPr>
          <w:gridAfter w:val="1"/>
          <w:wAfter w:w="16" w:type="pct"/>
          <w:trHeight w:val="576"/>
        </w:trPr>
        <w:tc>
          <w:tcPr>
            <w:tcW w:w="242" w:type="pct"/>
            <w:shd w:val="clear" w:color="auto" w:fill="auto"/>
            <w:noWrap/>
            <w:vAlign w:val="center"/>
            <w:hideMark/>
          </w:tcPr>
          <w:p w14:paraId="2468CA80" w14:textId="598833FA" w:rsidR="00D95167" w:rsidRPr="000D03B4" w:rsidRDefault="00D95167"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N53</w:t>
            </w:r>
          </w:p>
        </w:tc>
        <w:tc>
          <w:tcPr>
            <w:tcW w:w="204" w:type="pct"/>
            <w:vMerge/>
            <w:shd w:val="clear" w:color="auto" w:fill="auto"/>
            <w:vAlign w:val="center"/>
            <w:hideMark/>
          </w:tcPr>
          <w:p w14:paraId="5EDFAE17" w14:textId="77777777" w:rsidR="00D95167" w:rsidRPr="000D03B4" w:rsidRDefault="00D951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6268065" w14:textId="77777777" w:rsidR="00D95167" w:rsidRPr="000D03B4" w:rsidRDefault="00D951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4E188CF0" w14:textId="77777777" w:rsidR="00D95167" w:rsidRPr="000D03B4" w:rsidRDefault="00D951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1.6.3</w:t>
            </w:r>
          </w:p>
        </w:tc>
        <w:tc>
          <w:tcPr>
            <w:tcW w:w="1258" w:type="pct"/>
            <w:shd w:val="clear" w:color="auto" w:fill="auto"/>
            <w:noWrap/>
            <w:vAlign w:val="center"/>
            <w:hideMark/>
          </w:tcPr>
          <w:p w14:paraId="1EE3C2C2" w14:textId="77777777" w:rsidR="00D95167" w:rsidRPr="000D03B4" w:rsidRDefault="00D95167" w:rsidP="00A745DB">
            <w:pPr>
              <w:widowControl/>
              <w:adjustRightInd w:val="0"/>
              <w:snapToGrid w:val="0"/>
              <w:rPr>
                <w:rFonts w:eastAsiaTheme="majorEastAsia"/>
                <w:kern w:val="0"/>
                <w:sz w:val="18"/>
                <w:szCs w:val="18"/>
              </w:rPr>
            </w:pPr>
            <w:r w:rsidRPr="000D03B4">
              <w:rPr>
                <w:rFonts w:eastAsiaTheme="majorEastAsia"/>
                <w:kern w:val="0"/>
                <w:sz w:val="18"/>
                <w:szCs w:val="18"/>
              </w:rPr>
              <w:t>经营类事业单位国有资产处置</w:t>
            </w:r>
          </w:p>
        </w:tc>
        <w:tc>
          <w:tcPr>
            <w:tcW w:w="2478" w:type="pct"/>
            <w:vMerge/>
            <w:shd w:val="clear" w:color="auto" w:fill="auto"/>
            <w:vAlign w:val="center"/>
            <w:hideMark/>
          </w:tcPr>
          <w:p w14:paraId="22B351B6" w14:textId="77777777" w:rsidR="00D95167" w:rsidRPr="000D03B4" w:rsidRDefault="00D95167" w:rsidP="00264E2B">
            <w:pPr>
              <w:widowControl/>
              <w:adjustRightInd w:val="0"/>
              <w:snapToGrid w:val="0"/>
              <w:jc w:val="left"/>
              <w:rPr>
                <w:rFonts w:eastAsiaTheme="majorEastAsia"/>
                <w:kern w:val="0"/>
                <w:sz w:val="18"/>
                <w:szCs w:val="18"/>
              </w:rPr>
            </w:pPr>
          </w:p>
        </w:tc>
      </w:tr>
      <w:tr w:rsidR="00DE61FF" w:rsidRPr="000D03B4" w14:paraId="626AC75C" w14:textId="77777777" w:rsidTr="00DE61FF">
        <w:trPr>
          <w:gridAfter w:val="1"/>
          <w:wAfter w:w="16" w:type="pct"/>
          <w:trHeight w:val="283"/>
        </w:trPr>
        <w:tc>
          <w:tcPr>
            <w:tcW w:w="242" w:type="pct"/>
            <w:shd w:val="clear" w:color="auto" w:fill="auto"/>
            <w:noWrap/>
            <w:vAlign w:val="center"/>
            <w:hideMark/>
          </w:tcPr>
          <w:p w14:paraId="5E8CAE12" w14:textId="5BCFF576" w:rsidR="00070967" w:rsidRPr="000D03B4" w:rsidRDefault="00D95167"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54</w:t>
            </w:r>
          </w:p>
        </w:tc>
        <w:tc>
          <w:tcPr>
            <w:tcW w:w="204" w:type="pct"/>
            <w:vMerge w:val="restart"/>
            <w:shd w:val="clear" w:color="auto" w:fill="auto"/>
            <w:noWrap/>
            <w:vAlign w:val="center"/>
            <w:hideMark/>
          </w:tcPr>
          <w:p w14:paraId="2AE3C45C" w14:textId="5ABE6817" w:rsidR="00070967" w:rsidRPr="000D03B4" w:rsidRDefault="00070967"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7</w:t>
            </w:r>
          </w:p>
        </w:tc>
        <w:tc>
          <w:tcPr>
            <w:tcW w:w="449" w:type="pct"/>
            <w:vMerge w:val="restart"/>
            <w:shd w:val="clear" w:color="auto" w:fill="auto"/>
            <w:noWrap/>
            <w:vAlign w:val="center"/>
            <w:hideMark/>
          </w:tcPr>
          <w:p w14:paraId="7EF0BA09"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企业</w:t>
            </w:r>
          </w:p>
        </w:tc>
        <w:tc>
          <w:tcPr>
            <w:tcW w:w="353" w:type="pct"/>
            <w:shd w:val="clear" w:color="auto" w:fill="auto"/>
            <w:noWrap/>
            <w:vAlign w:val="center"/>
            <w:hideMark/>
          </w:tcPr>
          <w:p w14:paraId="741DE972" w14:textId="27094191" w:rsidR="00070967" w:rsidRPr="000D03B4" w:rsidRDefault="00070967"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7</w:t>
            </w:r>
            <w:r w:rsidRPr="000D03B4">
              <w:rPr>
                <w:rFonts w:eastAsiaTheme="majorEastAsia"/>
                <w:kern w:val="0"/>
                <w:sz w:val="18"/>
                <w:szCs w:val="18"/>
              </w:rPr>
              <w:t>.1</w:t>
            </w:r>
          </w:p>
        </w:tc>
        <w:tc>
          <w:tcPr>
            <w:tcW w:w="1258" w:type="pct"/>
            <w:shd w:val="clear" w:color="auto" w:fill="auto"/>
            <w:noWrap/>
            <w:vAlign w:val="center"/>
            <w:hideMark/>
          </w:tcPr>
          <w:p w14:paraId="3A91B61F" w14:textId="09600E54"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商誉减值测试</w:t>
            </w:r>
          </w:p>
        </w:tc>
        <w:tc>
          <w:tcPr>
            <w:tcW w:w="2478" w:type="pct"/>
            <w:shd w:val="clear" w:color="auto" w:fill="auto"/>
            <w:vAlign w:val="center"/>
            <w:hideMark/>
          </w:tcPr>
          <w:p w14:paraId="030498E9" w14:textId="41821937" w:rsidR="00070967" w:rsidRPr="000D03B4" w:rsidRDefault="00070967" w:rsidP="00264E2B">
            <w:pPr>
              <w:widowControl/>
              <w:adjustRightInd w:val="0"/>
              <w:snapToGrid w:val="0"/>
              <w:jc w:val="left"/>
              <w:rPr>
                <w:rFonts w:eastAsiaTheme="majorEastAsia"/>
                <w:kern w:val="0"/>
                <w:sz w:val="18"/>
                <w:szCs w:val="18"/>
              </w:rPr>
            </w:pPr>
            <w:r w:rsidRPr="000D03B4">
              <w:rPr>
                <w:kern w:val="0"/>
                <w:sz w:val="18"/>
                <w:szCs w:val="18"/>
              </w:rPr>
              <w:t>（</w:t>
            </w:r>
            <w:r w:rsidRPr="000D03B4">
              <w:rPr>
                <w:kern w:val="0"/>
                <w:sz w:val="18"/>
                <w:szCs w:val="18"/>
              </w:rPr>
              <w:t>1</w:t>
            </w:r>
            <w:r w:rsidRPr="000D03B4">
              <w:rPr>
                <w:kern w:val="0"/>
                <w:sz w:val="18"/>
                <w:szCs w:val="18"/>
              </w:rPr>
              <w:t>）</w:t>
            </w:r>
            <w:r w:rsidRPr="000D03B4">
              <w:rPr>
                <w:rFonts w:eastAsiaTheme="majorEastAsia"/>
                <w:kern w:val="0"/>
                <w:sz w:val="18"/>
                <w:szCs w:val="18"/>
              </w:rPr>
              <w:t>《企业会计准则第</w:t>
            </w:r>
            <w:r w:rsidRPr="000D03B4">
              <w:rPr>
                <w:rFonts w:eastAsiaTheme="majorEastAsia"/>
                <w:kern w:val="0"/>
                <w:sz w:val="18"/>
                <w:szCs w:val="18"/>
              </w:rPr>
              <w:t>8</w:t>
            </w:r>
            <w:r w:rsidRPr="000D03B4">
              <w:rPr>
                <w:rFonts w:eastAsiaTheme="majorEastAsia"/>
                <w:kern w:val="0"/>
                <w:sz w:val="18"/>
                <w:szCs w:val="18"/>
              </w:rPr>
              <w:t>号</w:t>
            </w:r>
            <w:r w:rsidRPr="000D03B4">
              <w:rPr>
                <w:rFonts w:eastAsiaTheme="majorEastAsia"/>
                <w:kern w:val="0"/>
                <w:sz w:val="18"/>
                <w:szCs w:val="18"/>
              </w:rPr>
              <w:t>--</w:t>
            </w:r>
            <w:r w:rsidRPr="000D03B4">
              <w:rPr>
                <w:rFonts w:eastAsiaTheme="majorEastAsia"/>
                <w:kern w:val="0"/>
                <w:sz w:val="18"/>
                <w:szCs w:val="18"/>
              </w:rPr>
              <w:t>资产减值》（财会〔</w:t>
            </w:r>
            <w:r w:rsidRPr="000D03B4">
              <w:rPr>
                <w:rFonts w:eastAsiaTheme="majorEastAsia"/>
                <w:kern w:val="0"/>
                <w:sz w:val="18"/>
                <w:szCs w:val="18"/>
              </w:rPr>
              <w:t>2006</w:t>
            </w:r>
            <w:r w:rsidRPr="000D03B4">
              <w:rPr>
                <w:rFonts w:eastAsiaTheme="majorEastAsia"/>
                <w:kern w:val="0"/>
                <w:sz w:val="18"/>
                <w:szCs w:val="18"/>
              </w:rPr>
              <w:t>〕</w:t>
            </w:r>
            <w:r w:rsidRPr="000D03B4">
              <w:rPr>
                <w:rFonts w:eastAsiaTheme="majorEastAsia"/>
                <w:kern w:val="0"/>
                <w:sz w:val="18"/>
                <w:szCs w:val="18"/>
              </w:rPr>
              <w:t>3</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2</w:t>
            </w:r>
            <w:r w:rsidRPr="000D03B4">
              <w:rPr>
                <w:kern w:val="0"/>
                <w:sz w:val="18"/>
                <w:szCs w:val="18"/>
              </w:rPr>
              <w:t>）</w:t>
            </w:r>
            <w:r w:rsidRPr="000D03B4">
              <w:rPr>
                <w:rFonts w:eastAsiaTheme="majorEastAsia"/>
                <w:kern w:val="0"/>
                <w:sz w:val="18"/>
                <w:szCs w:val="18"/>
              </w:rPr>
              <w:t>《会计监管风险提示第</w:t>
            </w:r>
            <w:r w:rsidRPr="000D03B4">
              <w:rPr>
                <w:rFonts w:eastAsiaTheme="majorEastAsia"/>
                <w:kern w:val="0"/>
                <w:sz w:val="18"/>
                <w:szCs w:val="18"/>
              </w:rPr>
              <w:t>8</w:t>
            </w:r>
            <w:r w:rsidRPr="000D03B4">
              <w:rPr>
                <w:rFonts w:eastAsiaTheme="majorEastAsia"/>
                <w:kern w:val="0"/>
                <w:sz w:val="18"/>
                <w:szCs w:val="18"/>
              </w:rPr>
              <w:t>号</w:t>
            </w:r>
            <w:r w:rsidRPr="000D03B4">
              <w:rPr>
                <w:rFonts w:eastAsiaTheme="majorEastAsia"/>
                <w:kern w:val="0"/>
                <w:sz w:val="18"/>
                <w:szCs w:val="18"/>
              </w:rPr>
              <w:t>——</w:t>
            </w:r>
            <w:r w:rsidRPr="000D03B4">
              <w:rPr>
                <w:rFonts w:eastAsiaTheme="majorEastAsia"/>
                <w:kern w:val="0"/>
                <w:sz w:val="18"/>
                <w:szCs w:val="18"/>
              </w:rPr>
              <w:t>商誉减值》（证监办发〔</w:t>
            </w:r>
            <w:r w:rsidRPr="000D03B4">
              <w:rPr>
                <w:rFonts w:eastAsiaTheme="majorEastAsia"/>
                <w:kern w:val="0"/>
                <w:sz w:val="18"/>
                <w:szCs w:val="18"/>
              </w:rPr>
              <w:t>2018</w:t>
            </w:r>
            <w:r w:rsidRPr="000D03B4">
              <w:rPr>
                <w:rFonts w:eastAsiaTheme="majorEastAsia"/>
                <w:kern w:val="0"/>
                <w:sz w:val="18"/>
                <w:szCs w:val="18"/>
              </w:rPr>
              <w:t>〕</w:t>
            </w:r>
            <w:r w:rsidRPr="000D03B4">
              <w:rPr>
                <w:rFonts w:eastAsiaTheme="majorEastAsia"/>
                <w:kern w:val="0"/>
                <w:sz w:val="18"/>
                <w:szCs w:val="18"/>
              </w:rPr>
              <w:t>92</w:t>
            </w:r>
            <w:r w:rsidRPr="000D03B4">
              <w:rPr>
                <w:rFonts w:eastAsiaTheme="majorEastAsia"/>
                <w:kern w:val="0"/>
                <w:sz w:val="18"/>
                <w:szCs w:val="18"/>
              </w:rPr>
              <w:t>号）</w:t>
            </w:r>
            <w:r w:rsidR="00C91222">
              <w:rPr>
                <w:rFonts w:eastAsiaTheme="majorEastAsia" w:hint="eastAsia"/>
                <w:kern w:val="0"/>
                <w:sz w:val="18"/>
                <w:szCs w:val="18"/>
              </w:rPr>
              <w:t>扥</w:t>
            </w:r>
            <w:r w:rsidRPr="000D03B4">
              <w:rPr>
                <w:rFonts w:eastAsiaTheme="majorEastAsia"/>
                <w:kern w:val="0"/>
                <w:sz w:val="18"/>
                <w:szCs w:val="18"/>
              </w:rPr>
              <w:t>。</w:t>
            </w:r>
          </w:p>
        </w:tc>
      </w:tr>
      <w:tr w:rsidR="00DE61FF" w:rsidRPr="000D03B4" w14:paraId="04122F2C" w14:textId="77777777" w:rsidTr="00DE61FF">
        <w:trPr>
          <w:gridAfter w:val="1"/>
          <w:wAfter w:w="16" w:type="pct"/>
          <w:trHeight w:val="283"/>
        </w:trPr>
        <w:tc>
          <w:tcPr>
            <w:tcW w:w="242" w:type="pct"/>
            <w:shd w:val="clear" w:color="auto" w:fill="auto"/>
            <w:noWrap/>
            <w:vAlign w:val="center"/>
            <w:hideMark/>
          </w:tcPr>
          <w:p w14:paraId="356EEE6A" w14:textId="67A02A87" w:rsidR="00070967" w:rsidRPr="000D03B4" w:rsidRDefault="00D95167"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55</w:t>
            </w:r>
          </w:p>
        </w:tc>
        <w:tc>
          <w:tcPr>
            <w:tcW w:w="204" w:type="pct"/>
            <w:vMerge/>
            <w:shd w:val="clear" w:color="auto" w:fill="auto"/>
            <w:vAlign w:val="center"/>
            <w:hideMark/>
          </w:tcPr>
          <w:p w14:paraId="22D1628F"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55BED7BF"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567A563" w14:textId="0FE4296B" w:rsidR="00070967" w:rsidRPr="000D03B4" w:rsidRDefault="00070967"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7</w:t>
            </w:r>
            <w:r w:rsidRPr="000D03B4">
              <w:rPr>
                <w:rFonts w:eastAsiaTheme="majorEastAsia"/>
                <w:kern w:val="0"/>
                <w:sz w:val="18"/>
                <w:szCs w:val="18"/>
              </w:rPr>
              <w:t>.2</w:t>
            </w:r>
          </w:p>
        </w:tc>
        <w:tc>
          <w:tcPr>
            <w:tcW w:w="1258" w:type="pct"/>
            <w:shd w:val="clear" w:color="auto" w:fill="auto"/>
            <w:noWrap/>
            <w:vAlign w:val="center"/>
            <w:hideMark/>
          </w:tcPr>
          <w:p w14:paraId="44408920"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其他资产或资产组减值测试</w:t>
            </w:r>
          </w:p>
        </w:tc>
        <w:tc>
          <w:tcPr>
            <w:tcW w:w="2478" w:type="pct"/>
            <w:shd w:val="clear" w:color="auto" w:fill="auto"/>
            <w:vAlign w:val="center"/>
            <w:hideMark/>
          </w:tcPr>
          <w:p w14:paraId="7AD9795F" w14:textId="54873072"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《企业会计准则第</w:t>
            </w:r>
            <w:r w:rsidRPr="000D03B4">
              <w:rPr>
                <w:rFonts w:eastAsiaTheme="majorEastAsia"/>
                <w:kern w:val="0"/>
                <w:sz w:val="18"/>
                <w:szCs w:val="18"/>
              </w:rPr>
              <w:t>8</w:t>
            </w:r>
            <w:r w:rsidRPr="000D03B4">
              <w:rPr>
                <w:rFonts w:eastAsiaTheme="majorEastAsia"/>
                <w:kern w:val="0"/>
                <w:sz w:val="18"/>
                <w:szCs w:val="18"/>
              </w:rPr>
              <w:t>号</w:t>
            </w:r>
            <w:r w:rsidRPr="000D03B4">
              <w:rPr>
                <w:rFonts w:eastAsiaTheme="majorEastAsia"/>
                <w:kern w:val="0"/>
                <w:sz w:val="18"/>
                <w:szCs w:val="18"/>
              </w:rPr>
              <w:t>——</w:t>
            </w:r>
            <w:r w:rsidRPr="000D03B4">
              <w:rPr>
                <w:rFonts w:eastAsiaTheme="majorEastAsia"/>
                <w:kern w:val="0"/>
                <w:sz w:val="18"/>
                <w:szCs w:val="18"/>
              </w:rPr>
              <w:t>资产减值》（财会〔</w:t>
            </w:r>
            <w:r w:rsidRPr="000D03B4">
              <w:rPr>
                <w:rFonts w:eastAsiaTheme="majorEastAsia"/>
                <w:kern w:val="0"/>
                <w:sz w:val="18"/>
                <w:szCs w:val="18"/>
              </w:rPr>
              <w:t>2006</w:t>
            </w:r>
            <w:r w:rsidRPr="000D03B4">
              <w:rPr>
                <w:rFonts w:eastAsiaTheme="majorEastAsia"/>
                <w:kern w:val="0"/>
                <w:sz w:val="18"/>
                <w:szCs w:val="18"/>
              </w:rPr>
              <w:t>〕</w:t>
            </w:r>
            <w:r w:rsidRPr="000D03B4">
              <w:rPr>
                <w:rFonts w:eastAsiaTheme="majorEastAsia"/>
                <w:kern w:val="0"/>
                <w:sz w:val="18"/>
                <w:szCs w:val="18"/>
              </w:rPr>
              <w:t>3</w:t>
            </w:r>
            <w:r w:rsidRPr="000D03B4">
              <w:rPr>
                <w:rFonts w:eastAsiaTheme="majorEastAsia"/>
                <w:kern w:val="0"/>
                <w:sz w:val="18"/>
                <w:szCs w:val="18"/>
              </w:rPr>
              <w:t>号）</w:t>
            </w:r>
          </w:p>
        </w:tc>
      </w:tr>
      <w:tr w:rsidR="00070967" w:rsidRPr="000D03B4" w14:paraId="5E676FAE" w14:textId="77777777" w:rsidTr="00DE61FF">
        <w:trPr>
          <w:gridAfter w:val="1"/>
          <w:wAfter w:w="16" w:type="pct"/>
          <w:trHeight w:val="283"/>
        </w:trPr>
        <w:tc>
          <w:tcPr>
            <w:tcW w:w="242" w:type="pct"/>
            <w:shd w:val="clear" w:color="auto" w:fill="auto"/>
            <w:noWrap/>
            <w:vAlign w:val="center"/>
            <w:hideMark/>
          </w:tcPr>
          <w:p w14:paraId="48A84FA0" w14:textId="518926CA" w:rsidR="00070967" w:rsidRPr="000D03B4" w:rsidRDefault="00D95167"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56</w:t>
            </w:r>
          </w:p>
        </w:tc>
        <w:tc>
          <w:tcPr>
            <w:tcW w:w="204" w:type="pct"/>
            <w:vMerge/>
            <w:shd w:val="clear" w:color="auto" w:fill="auto"/>
            <w:vAlign w:val="center"/>
            <w:hideMark/>
          </w:tcPr>
          <w:p w14:paraId="2D57EF2C"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17F3BD6"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92733D8" w14:textId="3B320CA2" w:rsidR="00070967" w:rsidRPr="000D03B4" w:rsidRDefault="00070967"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7</w:t>
            </w:r>
            <w:r w:rsidRPr="000D03B4">
              <w:rPr>
                <w:rFonts w:eastAsiaTheme="majorEastAsia"/>
                <w:kern w:val="0"/>
                <w:sz w:val="18"/>
                <w:szCs w:val="18"/>
              </w:rPr>
              <w:t>.3</w:t>
            </w:r>
          </w:p>
        </w:tc>
        <w:tc>
          <w:tcPr>
            <w:tcW w:w="1258" w:type="pct"/>
            <w:shd w:val="clear" w:color="auto" w:fill="auto"/>
            <w:noWrap/>
            <w:vAlign w:val="center"/>
            <w:hideMark/>
          </w:tcPr>
          <w:p w14:paraId="5FFCBAA9"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非货币性资产公允价值评估</w:t>
            </w:r>
          </w:p>
        </w:tc>
        <w:tc>
          <w:tcPr>
            <w:tcW w:w="2478" w:type="pct"/>
            <w:shd w:val="clear" w:color="auto" w:fill="auto"/>
            <w:vAlign w:val="center"/>
            <w:hideMark/>
          </w:tcPr>
          <w:p w14:paraId="7D91D363" w14:textId="615A7368"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《企业会计准则第</w:t>
            </w:r>
            <w:r w:rsidRPr="000D03B4">
              <w:rPr>
                <w:rFonts w:eastAsiaTheme="majorEastAsia"/>
                <w:kern w:val="0"/>
                <w:sz w:val="18"/>
                <w:szCs w:val="18"/>
              </w:rPr>
              <w:t>7</w:t>
            </w:r>
            <w:r w:rsidRPr="000D03B4">
              <w:rPr>
                <w:rFonts w:eastAsiaTheme="majorEastAsia"/>
                <w:kern w:val="0"/>
                <w:sz w:val="18"/>
                <w:szCs w:val="18"/>
              </w:rPr>
              <w:t>号</w:t>
            </w:r>
            <w:r w:rsidRPr="000D03B4">
              <w:rPr>
                <w:rFonts w:eastAsiaTheme="majorEastAsia"/>
                <w:kern w:val="0"/>
                <w:sz w:val="18"/>
                <w:szCs w:val="18"/>
              </w:rPr>
              <w:t>——</w:t>
            </w:r>
            <w:r w:rsidRPr="000D03B4">
              <w:rPr>
                <w:rFonts w:eastAsiaTheme="majorEastAsia"/>
                <w:kern w:val="0"/>
                <w:sz w:val="18"/>
                <w:szCs w:val="18"/>
              </w:rPr>
              <w:t>非货币性资产交换》（财会〔</w:t>
            </w:r>
            <w:r w:rsidRPr="000D03B4">
              <w:rPr>
                <w:rFonts w:eastAsiaTheme="majorEastAsia"/>
                <w:kern w:val="0"/>
                <w:sz w:val="18"/>
                <w:szCs w:val="18"/>
              </w:rPr>
              <w:t>2006</w:t>
            </w:r>
            <w:r w:rsidRPr="000D03B4">
              <w:rPr>
                <w:rFonts w:eastAsiaTheme="majorEastAsia"/>
                <w:kern w:val="0"/>
                <w:sz w:val="18"/>
                <w:szCs w:val="18"/>
              </w:rPr>
              <w:t>〕</w:t>
            </w:r>
            <w:r w:rsidRPr="000D03B4">
              <w:rPr>
                <w:rFonts w:eastAsiaTheme="majorEastAsia"/>
                <w:kern w:val="0"/>
                <w:sz w:val="18"/>
                <w:szCs w:val="18"/>
              </w:rPr>
              <w:t>3</w:t>
            </w:r>
            <w:r w:rsidRPr="000D03B4">
              <w:rPr>
                <w:rFonts w:eastAsiaTheme="majorEastAsia"/>
                <w:kern w:val="0"/>
                <w:sz w:val="18"/>
                <w:szCs w:val="18"/>
              </w:rPr>
              <w:t>号）</w:t>
            </w:r>
          </w:p>
        </w:tc>
      </w:tr>
      <w:tr w:rsidR="00DE61FF" w:rsidRPr="000D03B4" w14:paraId="6FB447AC" w14:textId="77777777" w:rsidTr="00DE61FF">
        <w:trPr>
          <w:gridAfter w:val="1"/>
          <w:wAfter w:w="16" w:type="pct"/>
          <w:trHeight w:val="283"/>
        </w:trPr>
        <w:tc>
          <w:tcPr>
            <w:tcW w:w="242" w:type="pct"/>
            <w:shd w:val="clear" w:color="auto" w:fill="auto"/>
            <w:noWrap/>
            <w:vAlign w:val="center"/>
            <w:hideMark/>
          </w:tcPr>
          <w:p w14:paraId="413443A6" w14:textId="012A68F8" w:rsidR="00070967" w:rsidRPr="000D03B4" w:rsidRDefault="00D95167"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57</w:t>
            </w:r>
          </w:p>
        </w:tc>
        <w:tc>
          <w:tcPr>
            <w:tcW w:w="204" w:type="pct"/>
            <w:vMerge/>
            <w:shd w:val="clear" w:color="auto" w:fill="auto"/>
            <w:vAlign w:val="center"/>
            <w:hideMark/>
          </w:tcPr>
          <w:p w14:paraId="530B4AD5"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342AD96"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00A3605" w14:textId="5D6B6E60" w:rsidR="00070967" w:rsidRPr="000D03B4" w:rsidRDefault="00070967"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7</w:t>
            </w:r>
            <w:r w:rsidRPr="000D03B4">
              <w:rPr>
                <w:rFonts w:eastAsiaTheme="majorEastAsia"/>
                <w:kern w:val="0"/>
                <w:sz w:val="18"/>
                <w:szCs w:val="18"/>
              </w:rPr>
              <w:t>.4</w:t>
            </w:r>
          </w:p>
        </w:tc>
        <w:tc>
          <w:tcPr>
            <w:tcW w:w="1258" w:type="pct"/>
            <w:shd w:val="clear" w:color="auto" w:fill="auto"/>
            <w:noWrap/>
            <w:vAlign w:val="center"/>
            <w:hideMark/>
          </w:tcPr>
          <w:p w14:paraId="02C758A1"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金融工具公允价值评估</w:t>
            </w:r>
          </w:p>
        </w:tc>
        <w:tc>
          <w:tcPr>
            <w:tcW w:w="2478" w:type="pct"/>
            <w:shd w:val="clear" w:color="auto" w:fill="auto"/>
            <w:vAlign w:val="center"/>
            <w:hideMark/>
          </w:tcPr>
          <w:p w14:paraId="349FC0CD" w14:textId="660A4F7F"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《企业会计准则第</w:t>
            </w:r>
            <w:r w:rsidRPr="000D03B4">
              <w:rPr>
                <w:rFonts w:eastAsiaTheme="majorEastAsia"/>
                <w:kern w:val="0"/>
                <w:sz w:val="18"/>
                <w:szCs w:val="18"/>
              </w:rPr>
              <w:t>22</w:t>
            </w:r>
            <w:r w:rsidRPr="000D03B4">
              <w:rPr>
                <w:rFonts w:eastAsiaTheme="majorEastAsia"/>
                <w:kern w:val="0"/>
                <w:sz w:val="18"/>
                <w:szCs w:val="18"/>
              </w:rPr>
              <w:t>号</w:t>
            </w:r>
            <w:r w:rsidRPr="000D03B4">
              <w:rPr>
                <w:rFonts w:eastAsiaTheme="majorEastAsia"/>
                <w:kern w:val="0"/>
                <w:sz w:val="18"/>
                <w:szCs w:val="18"/>
              </w:rPr>
              <w:t>——</w:t>
            </w:r>
            <w:r w:rsidRPr="000D03B4">
              <w:rPr>
                <w:rFonts w:eastAsiaTheme="majorEastAsia"/>
                <w:kern w:val="0"/>
                <w:sz w:val="18"/>
                <w:szCs w:val="18"/>
              </w:rPr>
              <w:t>金融工具确认和计量》（财会〔</w:t>
            </w:r>
            <w:r w:rsidRPr="000D03B4">
              <w:rPr>
                <w:rFonts w:eastAsiaTheme="majorEastAsia"/>
                <w:kern w:val="0"/>
                <w:sz w:val="18"/>
                <w:szCs w:val="18"/>
              </w:rPr>
              <w:t>2017</w:t>
            </w:r>
            <w:r w:rsidRPr="000D03B4">
              <w:rPr>
                <w:rFonts w:eastAsiaTheme="majorEastAsia"/>
                <w:kern w:val="0"/>
                <w:sz w:val="18"/>
                <w:szCs w:val="18"/>
              </w:rPr>
              <w:t>〕</w:t>
            </w:r>
            <w:r w:rsidRPr="000D03B4">
              <w:rPr>
                <w:rFonts w:eastAsiaTheme="majorEastAsia"/>
                <w:kern w:val="0"/>
                <w:sz w:val="18"/>
                <w:szCs w:val="18"/>
              </w:rPr>
              <w:t>7</w:t>
            </w:r>
            <w:r w:rsidRPr="000D03B4">
              <w:rPr>
                <w:rFonts w:eastAsiaTheme="majorEastAsia"/>
                <w:kern w:val="0"/>
                <w:sz w:val="18"/>
                <w:szCs w:val="18"/>
              </w:rPr>
              <w:t>号）</w:t>
            </w:r>
          </w:p>
        </w:tc>
      </w:tr>
      <w:tr w:rsidR="00DE61FF" w:rsidRPr="000D03B4" w14:paraId="6C16CB44" w14:textId="77777777" w:rsidTr="00DE61FF">
        <w:trPr>
          <w:gridAfter w:val="1"/>
          <w:wAfter w:w="16" w:type="pct"/>
          <w:trHeight w:val="283"/>
        </w:trPr>
        <w:tc>
          <w:tcPr>
            <w:tcW w:w="242" w:type="pct"/>
            <w:shd w:val="clear" w:color="auto" w:fill="auto"/>
            <w:noWrap/>
            <w:vAlign w:val="center"/>
            <w:hideMark/>
          </w:tcPr>
          <w:p w14:paraId="722E8219" w14:textId="3244792E" w:rsidR="00070967" w:rsidRPr="000D03B4" w:rsidRDefault="00D95167"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58</w:t>
            </w:r>
          </w:p>
        </w:tc>
        <w:tc>
          <w:tcPr>
            <w:tcW w:w="204" w:type="pct"/>
            <w:vMerge/>
            <w:shd w:val="clear" w:color="auto" w:fill="auto"/>
            <w:vAlign w:val="center"/>
            <w:hideMark/>
          </w:tcPr>
          <w:p w14:paraId="6710B6BF"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073FB3B4"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31DDAC99" w14:textId="3ACC44EB" w:rsidR="00070967" w:rsidRPr="000D03B4" w:rsidRDefault="00070967"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7</w:t>
            </w:r>
            <w:r w:rsidRPr="000D03B4">
              <w:rPr>
                <w:rFonts w:eastAsiaTheme="majorEastAsia"/>
                <w:kern w:val="0"/>
                <w:sz w:val="18"/>
                <w:szCs w:val="18"/>
              </w:rPr>
              <w:t>.5</w:t>
            </w:r>
          </w:p>
        </w:tc>
        <w:tc>
          <w:tcPr>
            <w:tcW w:w="1258" w:type="pct"/>
            <w:shd w:val="clear" w:color="auto" w:fill="auto"/>
            <w:noWrap/>
            <w:vAlign w:val="center"/>
            <w:hideMark/>
          </w:tcPr>
          <w:p w14:paraId="203349DE"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基金估值</w:t>
            </w:r>
          </w:p>
        </w:tc>
        <w:tc>
          <w:tcPr>
            <w:tcW w:w="2478" w:type="pct"/>
            <w:shd w:val="clear" w:color="auto" w:fill="auto"/>
            <w:vAlign w:val="center"/>
            <w:hideMark/>
          </w:tcPr>
          <w:p w14:paraId="6AA58CC8" w14:textId="68685A90" w:rsidR="00070967" w:rsidRPr="000D03B4" w:rsidRDefault="00070967" w:rsidP="00264E2B">
            <w:pPr>
              <w:widowControl/>
              <w:adjustRightInd w:val="0"/>
              <w:snapToGrid w:val="0"/>
              <w:jc w:val="left"/>
              <w:rPr>
                <w:rFonts w:eastAsiaTheme="majorEastAsia"/>
                <w:kern w:val="0"/>
                <w:sz w:val="18"/>
                <w:szCs w:val="18"/>
              </w:rPr>
            </w:pPr>
            <w:r w:rsidRPr="000D03B4">
              <w:rPr>
                <w:kern w:val="0"/>
                <w:sz w:val="18"/>
                <w:szCs w:val="18"/>
              </w:rPr>
              <w:t>（</w:t>
            </w:r>
            <w:r w:rsidRPr="000D03B4">
              <w:rPr>
                <w:kern w:val="0"/>
                <w:sz w:val="18"/>
                <w:szCs w:val="18"/>
              </w:rPr>
              <w:t>1</w:t>
            </w:r>
            <w:r w:rsidRPr="000D03B4">
              <w:rPr>
                <w:kern w:val="0"/>
                <w:sz w:val="18"/>
                <w:szCs w:val="18"/>
              </w:rPr>
              <w:t>）</w:t>
            </w:r>
            <w:r w:rsidR="00105EDE" w:rsidRPr="000D03B4">
              <w:rPr>
                <w:kern w:val="0"/>
                <w:sz w:val="18"/>
                <w:szCs w:val="18"/>
              </w:rPr>
              <w:t>《</w:t>
            </w:r>
            <w:r w:rsidRPr="000D03B4">
              <w:rPr>
                <w:rFonts w:eastAsiaTheme="majorEastAsia"/>
                <w:kern w:val="0"/>
                <w:sz w:val="18"/>
                <w:szCs w:val="18"/>
              </w:rPr>
              <w:t>证券投资基金参与转融通证券出借业务会计核算和估值业务指引（试行）</w:t>
            </w:r>
            <w:r w:rsidR="00105EDE" w:rsidRPr="000D03B4">
              <w:rPr>
                <w:rFonts w:eastAsiaTheme="majorEastAsia"/>
                <w:kern w:val="0"/>
                <w:sz w:val="18"/>
                <w:szCs w:val="18"/>
              </w:rPr>
              <w:t>》</w:t>
            </w:r>
            <w:r w:rsidRPr="000D03B4">
              <w:rPr>
                <w:rFonts w:eastAsiaTheme="majorEastAsia"/>
                <w:kern w:val="0"/>
                <w:sz w:val="18"/>
                <w:szCs w:val="18"/>
              </w:rPr>
              <w:t>（</w:t>
            </w:r>
            <w:proofErr w:type="gramStart"/>
            <w:r w:rsidRPr="000D03B4">
              <w:rPr>
                <w:rFonts w:eastAsiaTheme="majorEastAsia"/>
                <w:kern w:val="0"/>
                <w:sz w:val="18"/>
                <w:szCs w:val="18"/>
              </w:rPr>
              <w:t>中基协发</w:t>
            </w:r>
            <w:proofErr w:type="gramEnd"/>
            <w:r w:rsidRPr="000D03B4">
              <w:rPr>
                <w:rFonts w:eastAsiaTheme="majorEastAsia"/>
                <w:kern w:val="0"/>
                <w:sz w:val="18"/>
                <w:szCs w:val="18"/>
              </w:rPr>
              <w:t>〔</w:t>
            </w:r>
            <w:r w:rsidRPr="000D03B4">
              <w:rPr>
                <w:rFonts w:eastAsiaTheme="majorEastAsia"/>
                <w:kern w:val="0"/>
                <w:sz w:val="18"/>
                <w:szCs w:val="18"/>
              </w:rPr>
              <w:t>2019</w:t>
            </w:r>
            <w:r w:rsidRPr="000D03B4">
              <w:rPr>
                <w:rFonts w:eastAsiaTheme="majorEastAsia"/>
                <w:kern w:val="0"/>
                <w:sz w:val="18"/>
                <w:szCs w:val="18"/>
              </w:rPr>
              <w:t>〕</w:t>
            </w:r>
            <w:r w:rsidRPr="000D03B4">
              <w:rPr>
                <w:rFonts w:eastAsiaTheme="majorEastAsia"/>
                <w:kern w:val="0"/>
                <w:sz w:val="18"/>
                <w:szCs w:val="18"/>
              </w:rPr>
              <w:t>5</w:t>
            </w:r>
            <w:r w:rsidRPr="000D03B4">
              <w:rPr>
                <w:rFonts w:eastAsiaTheme="majorEastAsia"/>
                <w:kern w:val="0"/>
                <w:sz w:val="18"/>
                <w:szCs w:val="18"/>
              </w:rPr>
              <w:t>号</w:t>
            </w:r>
            <w:r w:rsidRPr="000D03B4">
              <w:rPr>
                <w:rFonts w:eastAsiaTheme="majorEastAsia"/>
                <w:kern w:val="0"/>
                <w:sz w:val="18"/>
                <w:szCs w:val="18"/>
              </w:rPr>
              <w:t xml:space="preserve"> </w:t>
            </w:r>
            <w:r w:rsidRPr="000D03B4">
              <w:rPr>
                <w:rFonts w:eastAsiaTheme="majorEastAsia"/>
                <w:kern w:val="0"/>
                <w:sz w:val="18"/>
                <w:szCs w:val="18"/>
              </w:rPr>
              <w:t>）；</w:t>
            </w:r>
            <w:r w:rsidRPr="000D03B4">
              <w:rPr>
                <w:rFonts w:eastAsiaTheme="majorEastAsia"/>
                <w:kern w:val="0"/>
                <w:sz w:val="18"/>
                <w:szCs w:val="18"/>
              </w:rPr>
              <w:br/>
            </w:r>
            <w:r w:rsidRPr="000D03B4">
              <w:rPr>
                <w:kern w:val="0"/>
                <w:sz w:val="18"/>
                <w:szCs w:val="18"/>
              </w:rPr>
              <w:t>（</w:t>
            </w:r>
            <w:r w:rsidRPr="000D03B4">
              <w:rPr>
                <w:kern w:val="0"/>
                <w:sz w:val="18"/>
                <w:szCs w:val="18"/>
              </w:rPr>
              <w:t>2</w:t>
            </w:r>
            <w:r w:rsidRPr="000D03B4">
              <w:rPr>
                <w:kern w:val="0"/>
                <w:sz w:val="18"/>
                <w:szCs w:val="18"/>
              </w:rPr>
              <w:t>）</w:t>
            </w:r>
            <w:r w:rsidRPr="000D03B4">
              <w:rPr>
                <w:rFonts w:eastAsiaTheme="majorEastAsia"/>
                <w:kern w:val="0"/>
                <w:sz w:val="18"/>
                <w:szCs w:val="18"/>
              </w:rPr>
              <w:t>《证券投资基金参与同业存单会计核算和估值业务指引（试行）》（</w:t>
            </w:r>
            <w:proofErr w:type="gramStart"/>
            <w:r w:rsidRPr="000D03B4">
              <w:rPr>
                <w:rFonts w:eastAsiaTheme="majorEastAsia"/>
                <w:kern w:val="0"/>
                <w:sz w:val="18"/>
                <w:szCs w:val="18"/>
              </w:rPr>
              <w:t>中基协发</w:t>
            </w:r>
            <w:proofErr w:type="gramEnd"/>
            <w:r w:rsidRPr="000D03B4">
              <w:rPr>
                <w:rFonts w:eastAsiaTheme="majorEastAsia"/>
                <w:kern w:val="0"/>
                <w:sz w:val="18"/>
                <w:szCs w:val="18"/>
              </w:rPr>
              <w:t>〔</w:t>
            </w:r>
            <w:r w:rsidRPr="000D03B4">
              <w:rPr>
                <w:rFonts w:eastAsiaTheme="majorEastAsia"/>
                <w:kern w:val="0"/>
                <w:sz w:val="18"/>
                <w:szCs w:val="18"/>
              </w:rPr>
              <w:t>2015</w:t>
            </w:r>
            <w:r w:rsidRPr="000D03B4">
              <w:rPr>
                <w:rFonts w:eastAsiaTheme="majorEastAsia"/>
                <w:kern w:val="0"/>
                <w:sz w:val="18"/>
                <w:szCs w:val="18"/>
              </w:rPr>
              <w:t>〕</w:t>
            </w:r>
            <w:r w:rsidRPr="000D03B4">
              <w:rPr>
                <w:rFonts w:eastAsiaTheme="majorEastAsia"/>
                <w:kern w:val="0"/>
                <w:sz w:val="18"/>
                <w:szCs w:val="18"/>
              </w:rPr>
              <w:t>12</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3</w:t>
            </w:r>
            <w:r w:rsidRPr="000D03B4">
              <w:rPr>
                <w:kern w:val="0"/>
                <w:sz w:val="18"/>
                <w:szCs w:val="18"/>
              </w:rPr>
              <w:t>）</w:t>
            </w:r>
            <w:r w:rsidRPr="000D03B4">
              <w:rPr>
                <w:rFonts w:eastAsiaTheme="majorEastAsia"/>
                <w:kern w:val="0"/>
                <w:sz w:val="18"/>
                <w:szCs w:val="18"/>
              </w:rPr>
              <w:t>《证券投资基金港股通投资资金清算和会计核算估值业务指引（试行）》</w:t>
            </w:r>
            <w:r w:rsidRPr="000D03B4">
              <w:rPr>
                <w:rFonts w:eastAsiaTheme="majorEastAsia"/>
                <w:kern w:val="0"/>
                <w:sz w:val="18"/>
                <w:szCs w:val="18"/>
              </w:rPr>
              <w:t xml:space="preserve"> </w:t>
            </w:r>
            <w:r w:rsidRPr="000D03B4">
              <w:rPr>
                <w:rFonts w:eastAsiaTheme="majorEastAsia"/>
                <w:kern w:val="0"/>
                <w:sz w:val="18"/>
                <w:szCs w:val="18"/>
              </w:rPr>
              <w:t>（</w:t>
            </w:r>
            <w:proofErr w:type="gramStart"/>
            <w:r w:rsidRPr="000D03B4">
              <w:rPr>
                <w:rFonts w:eastAsiaTheme="majorEastAsia"/>
                <w:kern w:val="0"/>
                <w:sz w:val="18"/>
                <w:szCs w:val="18"/>
              </w:rPr>
              <w:t>中基协发</w:t>
            </w:r>
            <w:proofErr w:type="gramEnd"/>
            <w:r w:rsidRPr="000D03B4">
              <w:rPr>
                <w:rFonts w:eastAsiaTheme="majorEastAsia"/>
                <w:kern w:val="0"/>
                <w:sz w:val="18"/>
                <w:szCs w:val="18"/>
              </w:rPr>
              <w:t>（</w:t>
            </w:r>
            <w:r w:rsidRPr="000D03B4">
              <w:rPr>
                <w:rFonts w:eastAsiaTheme="majorEastAsia"/>
                <w:kern w:val="0"/>
                <w:sz w:val="18"/>
                <w:szCs w:val="18"/>
              </w:rPr>
              <w:t>2015</w:t>
            </w:r>
            <w:r w:rsidRPr="000D03B4">
              <w:rPr>
                <w:rFonts w:eastAsiaTheme="majorEastAsia"/>
                <w:kern w:val="0"/>
                <w:sz w:val="18"/>
                <w:szCs w:val="18"/>
              </w:rPr>
              <w:t>）</w:t>
            </w:r>
            <w:r w:rsidRPr="000D03B4">
              <w:rPr>
                <w:rFonts w:eastAsiaTheme="majorEastAsia"/>
                <w:kern w:val="0"/>
                <w:sz w:val="18"/>
                <w:szCs w:val="18"/>
              </w:rPr>
              <w:t>17</w:t>
            </w:r>
            <w:r w:rsidRPr="000D03B4">
              <w:rPr>
                <w:rFonts w:eastAsiaTheme="majorEastAsia"/>
                <w:kern w:val="0"/>
                <w:sz w:val="18"/>
                <w:szCs w:val="18"/>
              </w:rPr>
              <w:t>号）；</w:t>
            </w:r>
            <w:r w:rsidRPr="000D03B4">
              <w:rPr>
                <w:rFonts w:eastAsiaTheme="majorEastAsia"/>
                <w:kern w:val="0"/>
                <w:sz w:val="18"/>
                <w:szCs w:val="18"/>
              </w:rPr>
              <w:t xml:space="preserve"> </w:t>
            </w:r>
            <w:r w:rsidRPr="000D03B4">
              <w:rPr>
                <w:rFonts w:eastAsiaTheme="majorEastAsia"/>
                <w:kern w:val="0"/>
                <w:sz w:val="18"/>
                <w:szCs w:val="18"/>
              </w:rPr>
              <w:br/>
            </w:r>
            <w:r w:rsidRPr="000D03B4">
              <w:rPr>
                <w:kern w:val="0"/>
                <w:sz w:val="18"/>
                <w:szCs w:val="18"/>
              </w:rPr>
              <w:t>（</w:t>
            </w:r>
            <w:r w:rsidRPr="000D03B4">
              <w:rPr>
                <w:kern w:val="0"/>
                <w:sz w:val="18"/>
                <w:szCs w:val="18"/>
              </w:rPr>
              <w:t>4</w:t>
            </w:r>
            <w:r w:rsidRPr="000D03B4">
              <w:rPr>
                <w:kern w:val="0"/>
                <w:sz w:val="18"/>
                <w:szCs w:val="18"/>
              </w:rPr>
              <w:t>）</w:t>
            </w:r>
            <w:r w:rsidRPr="000D03B4">
              <w:rPr>
                <w:rFonts w:eastAsiaTheme="majorEastAsia"/>
                <w:kern w:val="0"/>
                <w:sz w:val="18"/>
                <w:szCs w:val="18"/>
              </w:rPr>
              <w:t>《基金中基金估值业务指引（试行）》；</w:t>
            </w:r>
            <w:r w:rsidRPr="000D03B4">
              <w:rPr>
                <w:rFonts w:eastAsiaTheme="majorEastAsia"/>
                <w:kern w:val="0"/>
                <w:sz w:val="18"/>
                <w:szCs w:val="18"/>
              </w:rPr>
              <w:br/>
            </w:r>
            <w:r w:rsidRPr="000D03B4">
              <w:rPr>
                <w:kern w:val="0"/>
                <w:sz w:val="18"/>
                <w:szCs w:val="18"/>
              </w:rPr>
              <w:t>（</w:t>
            </w:r>
            <w:r w:rsidRPr="000D03B4">
              <w:rPr>
                <w:kern w:val="0"/>
                <w:sz w:val="18"/>
                <w:szCs w:val="18"/>
              </w:rPr>
              <w:t>5</w:t>
            </w:r>
            <w:r w:rsidRPr="000D03B4">
              <w:rPr>
                <w:kern w:val="0"/>
                <w:sz w:val="18"/>
                <w:szCs w:val="18"/>
              </w:rPr>
              <w:t>）</w:t>
            </w:r>
            <w:r w:rsidRPr="000D03B4">
              <w:rPr>
                <w:rFonts w:eastAsiaTheme="majorEastAsia"/>
                <w:kern w:val="0"/>
                <w:sz w:val="18"/>
                <w:szCs w:val="18"/>
              </w:rPr>
              <w:t>《证券投资基金投资流通受限股票估值指引（试行）》（</w:t>
            </w:r>
            <w:proofErr w:type="gramStart"/>
            <w:r w:rsidRPr="000D03B4">
              <w:rPr>
                <w:rFonts w:eastAsiaTheme="majorEastAsia"/>
                <w:kern w:val="0"/>
                <w:sz w:val="18"/>
                <w:szCs w:val="18"/>
              </w:rPr>
              <w:t>中基协发</w:t>
            </w:r>
            <w:proofErr w:type="gramEnd"/>
            <w:r w:rsidRPr="000D03B4">
              <w:rPr>
                <w:rFonts w:eastAsiaTheme="majorEastAsia"/>
                <w:kern w:val="0"/>
                <w:sz w:val="18"/>
                <w:szCs w:val="18"/>
              </w:rPr>
              <w:t>〔</w:t>
            </w:r>
            <w:r w:rsidRPr="000D03B4">
              <w:rPr>
                <w:rFonts w:eastAsiaTheme="majorEastAsia"/>
                <w:kern w:val="0"/>
                <w:sz w:val="18"/>
                <w:szCs w:val="18"/>
              </w:rPr>
              <w:t>2017</w:t>
            </w:r>
            <w:r w:rsidRPr="000D03B4">
              <w:rPr>
                <w:rFonts w:eastAsiaTheme="majorEastAsia"/>
                <w:kern w:val="0"/>
                <w:sz w:val="18"/>
                <w:szCs w:val="18"/>
              </w:rPr>
              <w:t>〕</w:t>
            </w:r>
            <w:r w:rsidRPr="000D03B4">
              <w:rPr>
                <w:rFonts w:eastAsiaTheme="majorEastAsia"/>
                <w:kern w:val="0"/>
                <w:sz w:val="18"/>
                <w:szCs w:val="18"/>
              </w:rPr>
              <w:t>6</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6</w:t>
            </w:r>
            <w:r w:rsidRPr="000D03B4">
              <w:rPr>
                <w:kern w:val="0"/>
                <w:sz w:val="18"/>
                <w:szCs w:val="18"/>
              </w:rPr>
              <w:t>）</w:t>
            </w:r>
            <w:r w:rsidRPr="000D03B4">
              <w:rPr>
                <w:rFonts w:eastAsiaTheme="majorEastAsia"/>
                <w:kern w:val="0"/>
                <w:sz w:val="18"/>
                <w:szCs w:val="18"/>
              </w:rPr>
              <w:t>《私募投资基金非上市股权投资估值指引（试行）》（</w:t>
            </w:r>
            <w:proofErr w:type="gramStart"/>
            <w:r w:rsidRPr="000D03B4">
              <w:rPr>
                <w:rFonts w:eastAsiaTheme="majorEastAsia"/>
                <w:kern w:val="0"/>
                <w:sz w:val="18"/>
                <w:szCs w:val="18"/>
              </w:rPr>
              <w:t>中基协发</w:t>
            </w:r>
            <w:proofErr w:type="gramEnd"/>
            <w:r w:rsidRPr="000D03B4">
              <w:rPr>
                <w:rFonts w:eastAsiaTheme="majorEastAsia"/>
                <w:kern w:val="0"/>
                <w:sz w:val="18"/>
                <w:szCs w:val="18"/>
              </w:rPr>
              <w:t>〔</w:t>
            </w:r>
            <w:r w:rsidRPr="000D03B4">
              <w:rPr>
                <w:rFonts w:eastAsiaTheme="majorEastAsia"/>
                <w:kern w:val="0"/>
                <w:sz w:val="18"/>
                <w:szCs w:val="18"/>
              </w:rPr>
              <w:t>2018</w:t>
            </w:r>
            <w:r w:rsidRPr="000D03B4">
              <w:rPr>
                <w:rFonts w:eastAsiaTheme="majorEastAsia"/>
                <w:kern w:val="0"/>
                <w:sz w:val="18"/>
                <w:szCs w:val="18"/>
              </w:rPr>
              <w:t>〕</w:t>
            </w:r>
            <w:r w:rsidRPr="000D03B4">
              <w:rPr>
                <w:rFonts w:eastAsiaTheme="majorEastAsia"/>
                <w:kern w:val="0"/>
                <w:sz w:val="18"/>
                <w:szCs w:val="18"/>
              </w:rPr>
              <w:t>1</w:t>
            </w:r>
            <w:r w:rsidRPr="000D03B4">
              <w:rPr>
                <w:rFonts w:eastAsiaTheme="majorEastAsia"/>
                <w:kern w:val="0"/>
                <w:sz w:val="18"/>
                <w:szCs w:val="18"/>
              </w:rPr>
              <w:t>号</w:t>
            </w:r>
            <w:r w:rsidR="00EA7C51" w:rsidRPr="000D03B4">
              <w:rPr>
                <w:rFonts w:eastAsiaTheme="majorEastAsia"/>
                <w:kern w:val="0"/>
                <w:sz w:val="18"/>
                <w:szCs w:val="18"/>
              </w:rPr>
              <w:t>）</w:t>
            </w:r>
            <w:r w:rsidR="00C91222">
              <w:rPr>
                <w:rFonts w:eastAsiaTheme="majorEastAsia" w:hint="eastAsia"/>
                <w:kern w:val="0"/>
                <w:sz w:val="18"/>
                <w:szCs w:val="18"/>
              </w:rPr>
              <w:t>等</w:t>
            </w:r>
            <w:r w:rsidRPr="000D03B4">
              <w:rPr>
                <w:rFonts w:eastAsiaTheme="majorEastAsia"/>
                <w:kern w:val="0"/>
                <w:sz w:val="18"/>
                <w:szCs w:val="18"/>
              </w:rPr>
              <w:t>。</w:t>
            </w:r>
          </w:p>
        </w:tc>
      </w:tr>
      <w:tr w:rsidR="00DE61FF" w:rsidRPr="000D03B4" w14:paraId="22095CAA" w14:textId="77777777" w:rsidTr="00DE61FF">
        <w:trPr>
          <w:gridAfter w:val="1"/>
          <w:wAfter w:w="16" w:type="pct"/>
          <w:trHeight w:val="283"/>
        </w:trPr>
        <w:tc>
          <w:tcPr>
            <w:tcW w:w="242" w:type="pct"/>
            <w:shd w:val="clear" w:color="auto" w:fill="auto"/>
            <w:noWrap/>
            <w:vAlign w:val="center"/>
            <w:hideMark/>
          </w:tcPr>
          <w:p w14:paraId="4180DE26" w14:textId="2C495202" w:rsidR="00070967" w:rsidRPr="000D03B4" w:rsidRDefault="00D95167"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59</w:t>
            </w:r>
          </w:p>
        </w:tc>
        <w:tc>
          <w:tcPr>
            <w:tcW w:w="204" w:type="pct"/>
            <w:vMerge/>
            <w:shd w:val="clear" w:color="auto" w:fill="auto"/>
            <w:vAlign w:val="center"/>
            <w:hideMark/>
          </w:tcPr>
          <w:p w14:paraId="641729F1"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67B0EB13"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93720A8" w14:textId="5466E61D" w:rsidR="00070967" w:rsidRPr="000D03B4" w:rsidRDefault="00070967"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7</w:t>
            </w:r>
            <w:r w:rsidRPr="000D03B4">
              <w:rPr>
                <w:rFonts w:eastAsiaTheme="majorEastAsia"/>
                <w:kern w:val="0"/>
                <w:sz w:val="18"/>
                <w:szCs w:val="18"/>
              </w:rPr>
              <w:t>.6</w:t>
            </w:r>
          </w:p>
        </w:tc>
        <w:tc>
          <w:tcPr>
            <w:tcW w:w="1258" w:type="pct"/>
            <w:shd w:val="clear" w:color="auto" w:fill="auto"/>
            <w:noWrap/>
            <w:vAlign w:val="center"/>
            <w:hideMark/>
          </w:tcPr>
          <w:p w14:paraId="22EC7DF6"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合并对价分摊评估</w:t>
            </w:r>
          </w:p>
        </w:tc>
        <w:tc>
          <w:tcPr>
            <w:tcW w:w="2478" w:type="pct"/>
            <w:shd w:val="clear" w:color="auto" w:fill="auto"/>
            <w:vAlign w:val="center"/>
            <w:hideMark/>
          </w:tcPr>
          <w:p w14:paraId="65A9114B" w14:textId="54C94341"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《企业会计准则第</w:t>
            </w:r>
            <w:r w:rsidRPr="000D03B4">
              <w:rPr>
                <w:rFonts w:eastAsiaTheme="majorEastAsia"/>
                <w:kern w:val="0"/>
                <w:sz w:val="18"/>
                <w:szCs w:val="18"/>
              </w:rPr>
              <w:t>20</w:t>
            </w:r>
            <w:r w:rsidRPr="000D03B4">
              <w:rPr>
                <w:rFonts w:eastAsiaTheme="majorEastAsia"/>
                <w:kern w:val="0"/>
                <w:sz w:val="18"/>
                <w:szCs w:val="18"/>
              </w:rPr>
              <w:t>号</w:t>
            </w:r>
            <w:r w:rsidRPr="000D03B4">
              <w:rPr>
                <w:rFonts w:eastAsiaTheme="majorEastAsia"/>
                <w:kern w:val="0"/>
                <w:sz w:val="18"/>
                <w:szCs w:val="18"/>
              </w:rPr>
              <w:t>——</w:t>
            </w:r>
            <w:r w:rsidRPr="000D03B4">
              <w:rPr>
                <w:rFonts w:eastAsiaTheme="majorEastAsia"/>
                <w:kern w:val="0"/>
                <w:sz w:val="18"/>
                <w:szCs w:val="18"/>
              </w:rPr>
              <w:t>企业合并》（财会〔</w:t>
            </w:r>
            <w:r w:rsidRPr="000D03B4">
              <w:rPr>
                <w:rFonts w:eastAsiaTheme="majorEastAsia"/>
                <w:kern w:val="0"/>
                <w:sz w:val="18"/>
                <w:szCs w:val="18"/>
              </w:rPr>
              <w:t>2006</w:t>
            </w:r>
            <w:r w:rsidRPr="000D03B4">
              <w:rPr>
                <w:rFonts w:eastAsiaTheme="majorEastAsia"/>
                <w:kern w:val="0"/>
                <w:sz w:val="18"/>
                <w:szCs w:val="18"/>
              </w:rPr>
              <w:t>〕</w:t>
            </w:r>
            <w:r w:rsidRPr="000D03B4">
              <w:rPr>
                <w:rFonts w:eastAsiaTheme="majorEastAsia"/>
                <w:kern w:val="0"/>
                <w:sz w:val="18"/>
                <w:szCs w:val="18"/>
              </w:rPr>
              <w:t>3</w:t>
            </w:r>
            <w:r w:rsidRPr="000D03B4">
              <w:rPr>
                <w:rFonts w:eastAsiaTheme="majorEastAsia"/>
                <w:kern w:val="0"/>
                <w:sz w:val="18"/>
                <w:szCs w:val="18"/>
              </w:rPr>
              <w:t>号）</w:t>
            </w:r>
          </w:p>
        </w:tc>
      </w:tr>
      <w:tr w:rsidR="00DE61FF" w:rsidRPr="000D03B4" w14:paraId="5EE46BF0" w14:textId="77777777" w:rsidTr="00DE61FF">
        <w:trPr>
          <w:gridAfter w:val="1"/>
          <w:wAfter w:w="16" w:type="pct"/>
          <w:trHeight w:val="283"/>
        </w:trPr>
        <w:tc>
          <w:tcPr>
            <w:tcW w:w="242" w:type="pct"/>
            <w:shd w:val="clear" w:color="auto" w:fill="auto"/>
            <w:noWrap/>
            <w:vAlign w:val="center"/>
            <w:hideMark/>
          </w:tcPr>
          <w:p w14:paraId="22219F5B" w14:textId="28ADBB06" w:rsidR="00070967" w:rsidRPr="000D03B4" w:rsidRDefault="00EC41C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lastRenderedPageBreak/>
              <w:t>N</w:t>
            </w:r>
            <w:r w:rsidR="00D95167" w:rsidRPr="000D03B4">
              <w:rPr>
                <w:rFonts w:eastAsiaTheme="majorEastAsia"/>
                <w:kern w:val="0"/>
                <w:sz w:val="18"/>
                <w:szCs w:val="18"/>
              </w:rPr>
              <w:t>60</w:t>
            </w:r>
          </w:p>
        </w:tc>
        <w:tc>
          <w:tcPr>
            <w:tcW w:w="204" w:type="pct"/>
            <w:vMerge/>
            <w:shd w:val="clear" w:color="auto" w:fill="auto"/>
            <w:vAlign w:val="center"/>
            <w:hideMark/>
          </w:tcPr>
          <w:p w14:paraId="1DCC1C99"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A71D35A"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3BC5FF42" w14:textId="55B22549" w:rsidR="00070967" w:rsidRPr="000D03B4" w:rsidRDefault="00070967"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7</w:t>
            </w:r>
            <w:r w:rsidRPr="000D03B4">
              <w:rPr>
                <w:rFonts w:eastAsiaTheme="majorEastAsia"/>
                <w:kern w:val="0"/>
                <w:sz w:val="18"/>
                <w:szCs w:val="18"/>
              </w:rPr>
              <w:t>.7</w:t>
            </w:r>
          </w:p>
        </w:tc>
        <w:tc>
          <w:tcPr>
            <w:tcW w:w="1258" w:type="pct"/>
            <w:shd w:val="clear" w:color="auto" w:fill="auto"/>
            <w:noWrap/>
            <w:vAlign w:val="center"/>
            <w:hideMark/>
          </w:tcPr>
          <w:p w14:paraId="35DE5F78"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金融企业抵押物管理及评估</w:t>
            </w:r>
          </w:p>
        </w:tc>
        <w:tc>
          <w:tcPr>
            <w:tcW w:w="2478" w:type="pct"/>
            <w:shd w:val="clear" w:color="auto" w:fill="auto"/>
            <w:noWrap/>
            <w:vAlign w:val="center"/>
            <w:hideMark/>
          </w:tcPr>
          <w:p w14:paraId="2F0145ED"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DE61FF" w:rsidRPr="000D03B4" w14:paraId="1BE58DFD" w14:textId="77777777" w:rsidTr="00DE61FF">
        <w:trPr>
          <w:gridAfter w:val="1"/>
          <w:wAfter w:w="16" w:type="pct"/>
          <w:trHeight w:val="283"/>
        </w:trPr>
        <w:tc>
          <w:tcPr>
            <w:tcW w:w="242" w:type="pct"/>
            <w:shd w:val="clear" w:color="auto" w:fill="auto"/>
            <w:noWrap/>
            <w:vAlign w:val="center"/>
          </w:tcPr>
          <w:p w14:paraId="6FEFD2FC" w14:textId="5CC09F48" w:rsidR="00070967" w:rsidRPr="000D03B4" w:rsidRDefault="00D951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61</w:t>
            </w:r>
          </w:p>
        </w:tc>
        <w:tc>
          <w:tcPr>
            <w:tcW w:w="204" w:type="pct"/>
            <w:vMerge/>
            <w:shd w:val="clear" w:color="auto" w:fill="auto"/>
            <w:noWrap/>
            <w:vAlign w:val="center"/>
          </w:tcPr>
          <w:p w14:paraId="5E7DF03A"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noWrap/>
            <w:vAlign w:val="center"/>
          </w:tcPr>
          <w:p w14:paraId="2075C374"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tcPr>
          <w:p w14:paraId="60D7FF92" w14:textId="65B6F566" w:rsidR="00070967" w:rsidRPr="000D03B4" w:rsidRDefault="00070967"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7</w:t>
            </w:r>
            <w:r w:rsidRPr="000D03B4">
              <w:rPr>
                <w:rFonts w:eastAsiaTheme="majorEastAsia"/>
                <w:kern w:val="0"/>
                <w:sz w:val="18"/>
                <w:szCs w:val="18"/>
              </w:rPr>
              <w:t>.8</w:t>
            </w:r>
          </w:p>
        </w:tc>
        <w:tc>
          <w:tcPr>
            <w:tcW w:w="1258" w:type="pct"/>
            <w:shd w:val="clear" w:color="auto" w:fill="auto"/>
            <w:noWrap/>
            <w:vAlign w:val="center"/>
          </w:tcPr>
          <w:p w14:paraId="59747A59" w14:textId="6B8DC21A"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外国投资者对境内企业并购</w:t>
            </w:r>
          </w:p>
        </w:tc>
        <w:tc>
          <w:tcPr>
            <w:tcW w:w="2478" w:type="pct"/>
            <w:shd w:val="clear" w:color="auto" w:fill="auto"/>
            <w:vAlign w:val="center"/>
          </w:tcPr>
          <w:p w14:paraId="385C4845" w14:textId="77777777" w:rsidR="00070967" w:rsidRPr="000D03B4" w:rsidRDefault="00070967" w:rsidP="00264E2B">
            <w:pPr>
              <w:widowControl/>
              <w:adjustRightInd w:val="0"/>
              <w:snapToGrid w:val="0"/>
              <w:jc w:val="left"/>
              <w:rPr>
                <w:rFonts w:eastAsiaTheme="majorEastAsia"/>
                <w:kern w:val="0"/>
                <w:sz w:val="18"/>
                <w:szCs w:val="18"/>
              </w:rPr>
            </w:pPr>
            <w:r w:rsidRPr="000D03B4">
              <w:rPr>
                <w:kern w:val="0"/>
                <w:sz w:val="18"/>
                <w:szCs w:val="18"/>
              </w:rPr>
              <w:t>（</w:t>
            </w:r>
            <w:r w:rsidRPr="000D03B4">
              <w:rPr>
                <w:kern w:val="0"/>
                <w:sz w:val="18"/>
                <w:szCs w:val="18"/>
              </w:rPr>
              <w:t>1</w:t>
            </w:r>
            <w:r w:rsidRPr="000D03B4">
              <w:rPr>
                <w:kern w:val="0"/>
                <w:sz w:val="18"/>
                <w:szCs w:val="18"/>
              </w:rPr>
              <w:t>）</w:t>
            </w:r>
            <w:r w:rsidRPr="000D03B4">
              <w:rPr>
                <w:rFonts w:eastAsiaTheme="majorEastAsia"/>
                <w:kern w:val="0"/>
                <w:sz w:val="18"/>
                <w:szCs w:val="18"/>
              </w:rPr>
              <w:t>《外国投资者并购境内企业暂行规定》（商务部</w:t>
            </w:r>
            <w:r w:rsidRPr="000D03B4">
              <w:rPr>
                <w:rFonts w:eastAsiaTheme="majorEastAsia"/>
                <w:kern w:val="0"/>
                <w:sz w:val="18"/>
                <w:szCs w:val="18"/>
              </w:rPr>
              <w:t xml:space="preserve"> </w:t>
            </w:r>
            <w:r w:rsidRPr="000D03B4">
              <w:rPr>
                <w:rFonts w:eastAsiaTheme="majorEastAsia"/>
                <w:kern w:val="0"/>
                <w:sz w:val="18"/>
                <w:szCs w:val="18"/>
              </w:rPr>
              <w:t>国务院国有资产监督管理委员会</w:t>
            </w:r>
            <w:r w:rsidRPr="000D03B4">
              <w:rPr>
                <w:rFonts w:eastAsiaTheme="majorEastAsia"/>
                <w:kern w:val="0"/>
                <w:sz w:val="18"/>
                <w:szCs w:val="18"/>
              </w:rPr>
              <w:t xml:space="preserve"> </w:t>
            </w:r>
            <w:r w:rsidRPr="000D03B4">
              <w:rPr>
                <w:rFonts w:eastAsiaTheme="majorEastAsia"/>
                <w:kern w:val="0"/>
                <w:sz w:val="18"/>
                <w:szCs w:val="18"/>
              </w:rPr>
              <w:t>国家税务总局</w:t>
            </w:r>
            <w:r w:rsidRPr="000D03B4">
              <w:rPr>
                <w:rFonts w:eastAsiaTheme="majorEastAsia"/>
                <w:kern w:val="0"/>
                <w:sz w:val="18"/>
                <w:szCs w:val="18"/>
              </w:rPr>
              <w:t xml:space="preserve"> </w:t>
            </w:r>
            <w:r w:rsidRPr="000D03B4">
              <w:rPr>
                <w:rFonts w:eastAsiaTheme="majorEastAsia"/>
                <w:kern w:val="0"/>
                <w:sz w:val="18"/>
                <w:szCs w:val="18"/>
              </w:rPr>
              <w:t>国家工商行政管理总局</w:t>
            </w:r>
            <w:r w:rsidRPr="000D03B4">
              <w:rPr>
                <w:rFonts w:eastAsiaTheme="majorEastAsia"/>
                <w:kern w:val="0"/>
                <w:sz w:val="18"/>
                <w:szCs w:val="18"/>
              </w:rPr>
              <w:t xml:space="preserve"> </w:t>
            </w:r>
            <w:r w:rsidRPr="000D03B4">
              <w:rPr>
                <w:rFonts w:eastAsiaTheme="majorEastAsia"/>
                <w:kern w:val="0"/>
                <w:sz w:val="18"/>
                <w:szCs w:val="18"/>
              </w:rPr>
              <w:t>中国证券监督管理委员会</w:t>
            </w:r>
            <w:r w:rsidRPr="000D03B4">
              <w:rPr>
                <w:rFonts w:eastAsiaTheme="majorEastAsia"/>
                <w:kern w:val="0"/>
                <w:sz w:val="18"/>
                <w:szCs w:val="18"/>
              </w:rPr>
              <w:t xml:space="preserve"> </w:t>
            </w:r>
            <w:r w:rsidRPr="000D03B4">
              <w:rPr>
                <w:rFonts w:eastAsiaTheme="majorEastAsia"/>
                <w:kern w:val="0"/>
                <w:sz w:val="18"/>
                <w:szCs w:val="18"/>
              </w:rPr>
              <w:t>国家外汇管理局令</w:t>
            </w:r>
            <w:r w:rsidRPr="000D03B4">
              <w:rPr>
                <w:rFonts w:eastAsiaTheme="majorEastAsia"/>
                <w:kern w:val="0"/>
                <w:sz w:val="18"/>
                <w:szCs w:val="18"/>
              </w:rPr>
              <w:t>2006</w:t>
            </w:r>
            <w:r w:rsidRPr="000D03B4">
              <w:rPr>
                <w:rFonts w:eastAsiaTheme="majorEastAsia"/>
                <w:kern w:val="0"/>
                <w:sz w:val="18"/>
                <w:szCs w:val="18"/>
              </w:rPr>
              <w:t>年第</w:t>
            </w:r>
            <w:r w:rsidRPr="000D03B4">
              <w:rPr>
                <w:rFonts w:eastAsiaTheme="majorEastAsia"/>
                <w:kern w:val="0"/>
                <w:sz w:val="18"/>
                <w:szCs w:val="18"/>
              </w:rPr>
              <w:t>10</w:t>
            </w:r>
            <w:r w:rsidRPr="000D03B4">
              <w:rPr>
                <w:rFonts w:eastAsiaTheme="majorEastAsia"/>
                <w:kern w:val="0"/>
                <w:sz w:val="18"/>
                <w:szCs w:val="18"/>
              </w:rPr>
              <w:t>号</w:t>
            </w:r>
            <w:r w:rsidRPr="000D03B4">
              <w:rPr>
                <w:rFonts w:eastAsiaTheme="majorEastAsia"/>
                <w:kern w:val="0"/>
                <w:sz w:val="18"/>
                <w:szCs w:val="18"/>
              </w:rPr>
              <w:t xml:space="preserve"> </w:t>
            </w:r>
            <w:r w:rsidRPr="000D03B4">
              <w:rPr>
                <w:rFonts w:eastAsiaTheme="majorEastAsia"/>
                <w:kern w:val="0"/>
                <w:sz w:val="18"/>
                <w:szCs w:val="18"/>
              </w:rPr>
              <w:t>根据商务部令</w:t>
            </w:r>
            <w:r w:rsidRPr="000D03B4">
              <w:rPr>
                <w:rFonts w:eastAsiaTheme="majorEastAsia"/>
                <w:kern w:val="0"/>
                <w:sz w:val="18"/>
                <w:szCs w:val="18"/>
              </w:rPr>
              <w:t>2009</w:t>
            </w:r>
            <w:r w:rsidRPr="000D03B4">
              <w:rPr>
                <w:rFonts w:eastAsiaTheme="majorEastAsia"/>
                <w:kern w:val="0"/>
                <w:sz w:val="18"/>
                <w:szCs w:val="18"/>
              </w:rPr>
              <w:t>年第</w:t>
            </w:r>
            <w:r w:rsidRPr="000D03B4">
              <w:rPr>
                <w:rFonts w:eastAsiaTheme="majorEastAsia"/>
                <w:kern w:val="0"/>
                <w:sz w:val="18"/>
                <w:szCs w:val="18"/>
              </w:rPr>
              <w:t>6</w:t>
            </w:r>
            <w:r w:rsidRPr="000D03B4">
              <w:rPr>
                <w:rFonts w:eastAsiaTheme="majorEastAsia"/>
                <w:kern w:val="0"/>
                <w:sz w:val="18"/>
                <w:szCs w:val="18"/>
              </w:rPr>
              <w:t>号修订）；</w:t>
            </w:r>
          </w:p>
          <w:p w14:paraId="6486A144" w14:textId="53D8E46F" w:rsidR="00070967" w:rsidRPr="000D03B4" w:rsidRDefault="00070967" w:rsidP="00264E2B">
            <w:pPr>
              <w:widowControl/>
              <w:adjustRightInd w:val="0"/>
              <w:snapToGrid w:val="0"/>
              <w:jc w:val="left"/>
              <w:rPr>
                <w:rFonts w:eastAsiaTheme="majorEastAsia"/>
                <w:kern w:val="0"/>
                <w:sz w:val="18"/>
                <w:szCs w:val="18"/>
              </w:rPr>
            </w:pPr>
            <w:r w:rsidRPr="000D03B4">
              <w:rPr>
                <w:kern w:val="0"/>
                <w:sz w:val="18"/>
                <w:szCs w:val="18"/>
              </w:rPr>
              <w:t>（</w:t>
            </w:r>
            <w:r w:rsidRPr="000D03B4">
              <w:rPr>
                <w:kern w:val="0"/>
                <w:sz w:val="18"/>
                <w:szCs w:val="18"/>
              </w:rPr>
              <w:t>2</w:t>
            </w:r>
            <w:r w:rsidRPr="000D03B4">
              <w:rPr>
                <w:kern w:val="0"/>
                <w:sz w:val="18"/>
                <w:szCs w:val="18"/>
              </w:rPr>
              <w:t>）</w:t>
            </w:r>
            <w:r w:rsidRPr="000D03B4">
              <w:rPr>
                <w:rFonts w:eastAsiaTheme="majorEastAsia"/>
                <w:kern w:val="0"/>
                <w:sz w:val="18"/>
                <w:szCs w:val="18"/>
              </w:rPr>
              <w:t>《关于外国投资者并购境内企业股权有关税收问题的通知》（国税发〔</w:t>
            </w:r>
            <w:r w:rsidRPr="000D03B4">
              <w:rPr>
                <w:rFonts w:eastAsiaTheme="majorEastAsia"/>
                <w:kern w:val="0"/>
                <w:sz w:val="18"/>
                <w:szCs w:val="18"/>
              </w:rPr>
              <w:t>2003</w:t>
            </w:r>
            <w:r w:rsidRPr="000D03B4">
              <w:rPr>
                <w:rFonts w:eastAsiaTheme="majorEastAsia"/>
                <w:kern w:val="0"/>
                <w:sz w:val="18"/>
                <w:szCs w:val="18"/>
              </w:rPr>
              <w:t>〕</w:t>
            </w:r>
            <w:r w:rsidRPr="000D03B4">
              <w:rPr>
                <w:rFonts w:eastAsiaTheme="majorEastAsia"/>
                <w:kern w:val="0"/>
                <w:sz w:val="18"/>
                <w:szCs w:val="18"/>
              </w:rPr>
              <w:t>60</w:t>
            </w:r>
            <w:r w:rsidR="00EA7C51" w:rsidRPr="000D03B4">
              <w:rPr>
                <w:rFonts w:eastAsiaTheme="majorEastAsia"/>
                <w:kern w:val="0"/>
                <w:sz w:val="18"/>
                <w:szCs w:val="18"/>
              </w:rPr>
              <w:t>号）</w:t>
            </w:r>
            <w:r w:rsidR="00C91222">
              <w:rPr>
                <w:rFonts w:eastAsiaTheme="majorEastAsia" w:hint="eastAsia"/>
                <w:kern w:val="0"/>
                <w:sz w:val="18"/>
                <w:szCs w:val="18"/>
              </w:rPr>
              <w:t>等</w:t>
            </w:r>
            <w:r w:rsidRPr="000D03B4">
              <w:rPr>
                <w:rFonts w:eastAsiaTheme="majorEastAsia"/>
                <w:kern w:val="0"/>
                <w:sz w:val="18"/>
                <w:szCs w:val="18"/>
              </w:rPr>
              <w:t>。</w:t>
            </w:r>
          </w:p>
        </w:tc>
      </w:tr>
      <w:tr w:rsidR="00625E01" w:rsidRPr="000D03B4" w14:paraId="74A1645A" w14:textId="77777777" w:rsidTr="00DE61FF">
        <w:trPr>
          <w:gridAfter w:val="1"/>
          <w:wAfter w:w="16" w:type="pct"/>
          <w:trHeight w:val="283"/>
        </w:trPr>
        <w:tc>
          <w:tcPr>
            <w:tcW w:w="242" w:type="pct"/>
            <w:shd w:val="clear" w:color="auto" w:fill="auto"/>
            <w:noWrap/>
            <w:vAlign w:val="center"/>
            <w:hideMark/>
          </w:tcPr>
          <w:p w14:paraId="7C0DC407" w14:textId="1F057187" w:rsidR="00625E01" w:rsidRPr="000D03B4" w:rsidRDefault="00625E01"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62</w:t>
            </w:r>
          </w:p>
        </w:tc>
        <w:tc>
          <w:tcPr>
            <w:tcW w:w="204" w:type="pct"/>
            <w:vMerge w:val="restart"/>
            <w:shd w:val="clear" w:color="auto" w:fill="auto"/>
            <w:noWrap/>
            <w:vAlign w:val="center"/>
            <w:hideMark/>
          </w:tcPr>
          <w:p w14:paraId="53325E40" w14:textId="0D219503" w:rsidR="00625E01" w:rsidRPr="000D03B4" w:rsidRDefault="00625E01"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1.8</w:t>
            </w:r>
          </w:p>
        </w:tc>
        <w:tc>
          <w:tcPr>
            <w:tcW w:w="449" w:type="pct"/>
            <w:vMerge w:val="restart"/>
            <w:shd w:val="clear" w:color="auto" w:fill="auto"/>
            <w:noWrap/>
            <w:vAlign w:val="center"/>
            <w:hideMark/>
          </w:tcPr>
          <w:p w14:paraId="4E56A9BF" w14:textId="77777777" w:rsidR="00625E01" w:rsidRPr="000D03B4" w:rsidRDefault="00625E01"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其他</w:t>
            </w:r>
          </w:p>
        </w:tc>
        <w:tc>
          <w:tcPr>
            <w:tcW w:w="353" w:type="pct"/>
            <w:shd w:val="clear" w:color="auto" w:fill="auto"/>
            <w:noWrap/>
            <w:vAlign w:val="center"/>
            <w:hideMark/>
          </w:tcPr>
          <w:p w14:paraId="6DBADED3" w14:textId="609564D7" w:rsidR="00625E01" w:rsidRPr="000D03B4" w:rsidRDefault="00625E01"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1.8.1</w:t>
            </w:r>
          </w:p>
        </w:tc>
        <w:tc>
          <w:tcPr>
            <w:tcW w:w="1258" w:type="pct"/>
            <w:shd w:val="clear" w:color="auto" w:fill="auto"/>
            <w:noWrap/>
            <w:vAlign w:val="center"/>
            <w:hideMark/>
          </w:tcPr>
          <w:p w14:paraId="350327B5" w14:textId="77777777" w:rsidR="00625E01" w:rsidRPr="000D03B4" w:rsidRDefault="00625E01" w:rsidP="00A745DB">
            <w:pPr>
              <w:widowControl/>
              <w:adjustRightInd w:val="0"/>
              <w:snapToGrid w:val="0"/>
              <w:rPr>
                <w:rFonts w:eastAsiaTheme="majorEastAsia"/>
                <w:kern w:val="0"/>
                <w:sz w:val="18"/>
                <w:szCs w:val="18"/>
              </w:rPr>
            </w:pPr>
            <w:proofErr w:type="gramStart"/>
            <w:r w:rsidRPr="000D03B4">
              <w:rPr>
                <w:rFonts w:eastAsiaTheme="majorEastAsia"/>
                <w:kern w:val="0"/>
                <w:sz w:val="18"/>
                <w:szCs w:val="18"/>
              </w:rPr>
              <w:t>碳排放权</w:t>
            </w:r>
            <w:proofErr w:type="gramEnd"/>
            <w:r w:rsidRPr="000D03B4">
              <w:rPr>
                <w:rFonts w:eastAsiaTheme="majorEastAsia"/>
                <w:kern w:val="0"/>
                <w:sz w:val="18"/>
                <w:szCs w:val="18"/>
              </w:rPr>
              <w:t>交易</w:t>
            </w:r>
          </w:p>
        </w:tc>
        <w:tc>
          <w:tcPr>
            <w:tcW w:w="2478" w:type="pct"/>
            <w:vMerge w:val="restart"/>
            <w:shd w:val="clear" w:color="auto" w:fill="auto"/>
            <w:vAlign w:val="center"/>
            <w:hideMark/>
          </w:tcPr>
          <w:p w14:paraId="5517298A" w14:textId="4F7D7223" w:rsidR="00625E01" w:rsidRPr="000D03B4" w:rsidRDefault="00625E01" w:rsidP="00264E2B">
            <w:pPr>
              <w:widowControl/>
              <w:adjustRightInd w:val="0"/>
              <w:snapToGrid w:val="0"/>
              <w:jc w:val="left"/>
              <w:rPr>
                <w:rFonts w:eastAsiaTheme="majorEastAsia"/>
                <w:kern w:val="0"/>
                <w:sz w:val="18"/>
                <w:szCs w:val="18"/>
              </w:rPr>
            </w:pPr>
            <w:r w:rsidRPr="000D03B4">
              <w:rPr>
                <w:rFonts w:eastAsiaTheme="majorEastAsia"/>
                <w:kern w:val="0"/>
                <w:sz w:val="18"/>
                <w:szCs w:val="18"/>
              </w:rPr>
              <w:t>《中华人民共和国环境影响评价法》（</w:t>
            </w:r>
            <w:r w:rsidRPr="000D03B4">
              <w:rPr>
                <w:rFonts w:eastAsiaTheme="majorEastAsia"/>
                <w:kern w:val="0"/>
                <w:sz w:val="18"/>
                <w:szCs w:val="18"/>
              </w:rPr>
              <w:t>2002</w:t>
            </w:r>
            <w:r w:rsidRPr="000D03B4">
              <w:rPr>
                <w:rFonts w:eastAsiaTheme="majorEastAsia"/>
                <w:kern w:val="0"/>
                <w:sz w:val="18"/>
                <w:szCs w:val="18"/>
              </w:rPr>
              <w:t>年</w:t>
            </w:r>
            <w:r w:rsidRPr="000D03B4">
              <w:rPr>
                <w:rFonts w:eastAsiaTheme="majorEastAsia"/>
                <w:kern w:val="0"/>
                <w:sz w:val="18"/>
                <w:szCs w:val="18"/>
              </w:rPr>
              <w:t>10</w:t>
            </w:r>
            <w:r w:rsidRPr="000D03B4">
              <w:rPr>
                <w:rFonts w:eastAsiaTheme="majorEastAsia"/>
                <w:kern w:val="0"/>
                <w:sz w:val="18"/>
                <w:szCs w:val="18"/>
              </w:rPr>
              <w:t>月</w:t>
            </w:r>
            <w:r w:rsidRPr="000D03B4">
              <w:rPr>
                <w:rFonts w:eastAsiaTheme="majorEastAsia"/>
                <w:kern w:val="0"/>
                <w:sz w:val="18"/>
                <w:szCs w:val="18"/>
              </w:rPr>
              <w:t>28</w:t>
            </w:r>
            <w:r w:rsidRPr="000D03B4">
              <w:rPr>
                <w:rFonts w:eastAsiaTheme="majorEastAsia"/>
                <w:kern w:val="0"/>
                <w:sz w:val="18"/>
                <w:szCs w:val="18"/>
              </w:rPr>
              <w:t>日第九届全国人民代表大会常务委员会第三十次会议通过　根据</w:t>
            </w:r>
            <w:r w:rsidRPr="000D03B4">
              <w:rPr>
                <w:rFonts w:eastAsiaTheme="majorEastAsia"/>
                <w:kern w:val="0"/>
                <w:sz w:val="18"/>
                <w:szCs w:val="18"/>
              </w:rPr>
              <w:t>2016</w:t>
            </w:r>
            <w:r w:rsidRPr="000D03B4">
              <w:rPr>
                <w:rFonts w:eastAsiaTheme="majorEastAsia"/>
                <w:kern w:val="0"/>
                <w:sz w:val="18"/>
                <w:szCs w:val="18"/>
              </w:rPr>
              <w:t>年</w:t>
            </w:r>
            <w:r w:rsidRPr="000D03B4">
              <w:rPr>
                <w:rFonts w:eastAsiaTheme="majorEastAsia"/>
                <w:kern w:val="0"/>
                <w:sz w:val="18"/>
                <w:szCs w:val="18"/>
              </w:rPr>
              <w:t>7</w:t>
            </w:r>
            <w:r w:rsidRPr="000D03B4">
              <w:rPr>
                <w:rFonts w:eastAsiaTheme="majorEastAsia"/>
                <w:kern w:val="0"/>
                <w:sz w:val="18"/>
                <w:szCs w:val="18"/>
              </w:rPr>
              <w:t>月</w:t>
            </w:r>
            <w:r w:rsidRPr="000D03B4">
              <w:rPr>
                <w:rFonts w:eastAsiaTheme="majorEastAsia"/>
                <w:kern w:val="0"/>
                <w:sz w:val="18"/>
                <w:szCs w:val="18"/>
              </w:rPr>
              <w:t>2</w:t>
            </w:r>
            <w:r w:rsidRPr="000D03B4">
              <w:rPr>
                <w:rFonts w:eastAsiaTheme="majorEastAsia"/>
                <w:kern w:val="0"/>
                <w:sz w:val="18"/>
                <w:szCs w:val="18"/>
              </w:rPr>
              <w:t>日第十二届全国人民代表大会常务委员会第二十一次会议《关于修改〈中华人民共和国节约能源法〉等六部法律的决定》第一次修正　根据</w:t>
            </w:r>
            <w:r w:rsidRPr="000D03B4">
              <w:rPr>
                <w:rFonts w:eastAsiaTheme="majorEastAsia"/>
                <w:kern w:val="0"/>
                <w:sz w:val="18"/>
                <w:szCs w:val="18"/>
              </w:rPr>
              <w:t>2018</w:t>
            </w:r>
            <w:r w:rsidRPr="000D03B4">
              <w:rPr>
                <w:rFonts w:eastAsiaTheme="majorEastAsia"/>
                <w:kern w:val="0"/>
                <w:sz w:val="18"/>
                <w:szCs w:val="18"/>
              </w:rPr>
              <w:t>年</w:t>
            </w:r>
            <w:r w:rsidRPr="000D03B4">
              <w:rPr>
                <w:rFonts w:eastAsiaTheme="majorEastAsia"/>
                <w:kern w:val="0"/>
                <w:sz w:val="18"/>
                <w:szCs w:val="18"/>
              </w:rPr>
              <w:t>12</w:t>
            </w:r>
            <w:r w:rsidRPr="000D03B4">
              <w:rPr>
                <w:rFonts w:eastAsiaTheme="majorEastAsia"/>
                <w:kern w:val="0"/>
                <w:sz w:val="18"/>
                <w:szCs w:val="18"/>
              </w:rPr>
              <w:t>月</w:t>
            </w:r>
            <w:r w:rsidRPr="000D03B4">
              <w:rPr>
                <w:rFonts w:eastAsiaTheme="majorEastAsia"/>
                <w:kern w:val="0"/>
                <w:sz w:val="18"/>
                <w:szCs w:val="18"/>
              </w:rPr>
              <w:t>29</w:t>
            </w:r>
            <w:r w:rsidRPr="000D03B4">
              <w:rPr>
                <w:rFonts w:eastAsiaTheme="majorEastAsia"/>
                <w:kern w:val="0"/>
                <w:sz w:val="18"/>
                <w:szCs w:val="18"/>
              </w:rPr>
              <w:t>日第十三届全国人民代表大会常务委员会第七次会议《关于修改〈中华人民共和国劳动法〉等七部法律的决定》第二次修正）</w:t>
            </w:r>
          </w:p>
        </w:tc>
      </w:tr>
      <w:tr w:rsidR="00625E01" w:rsidRPr="000D03B4" w14:paraId="56D32D55" w14:textId="77777777" w:rsidTr="00DE61FF">
        <w:trPr>
          <w:gridAfter w:val="1"/>
          <w:wAfter w:w="16" w:type="pct"/>
          <w:trHeight w:val="1234"/>
        </w:trPr>
        <w:tc>
          <w:tcPr>
            <w:tcW w:w="242" w:type="pct"/>
            <w:shd w:val="clear" w:color="auto" w:fill="auto"/>
            <w:noWrap/>
            <w:vAlign w:val="center"/>
            <w:hideMark/>
          </w:tcPr>
          <w:p w14:paraId="6E93CD00" w14:textId="08320E16" w:rsidR="00625E01" w:rsidRPr="000D03B4" w:rsidRDefault="00625E01"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63</w:t>
            </w:r>
          </w:p>
        </w:tc>
        <w:tc>
          <w:tcPr>
            <w:tcW w:w="204" w:type="pct"/>
            <w:vMerge/>
            <w:shd w:val="clear" w:color="auto" w:fill="auto"/>
            <w:vAlign w:val="center"/>
            <w:hideMark/>
          </w:tcPr>
          <w:p w14:paraId="3C6CBD17" w14:textId="77777777" w:rsidR="00625E01" w:rsidRPr="000D03B4" w:rsidRDefault="00625E01"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29EFF50" w14:textId="77777777" w:rsidR="00625E01" w:rsidRPr="000D03B4" w:rsidRDefault="00625E01"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8B55F61" w14:textId="66E54A34" w:rsidR="00625E01" w:rsidRPr="000D03B4" w:rsidRDefault="00625E01"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1.8.2</w:t>
            </w:r>
          </w:p>
        </w:tc>
        <w:tc>
          <w:tcPr>
            <w:tcW w:w="1258" w:type="pct"/>
            <w:shd w:val="clear" w:color="auto" w:fill="auto"/>
            <w:noWrap/>
            <w:vAlign w:val="center"/>
            <w:hideMark/>
          </w:tcPr>
          <w:p w14:paraId="0118D260" w14:textId="77777777" w:rsidR="00625E01" w:rsidRPr="000D03B4" w:rsidRDefault="00625E01" w:rsidP="00A745DB">
            <w:pPr>
              <w:widowControl/>
              <w:adjustRightInd w:val="0"/>
              <w:snapToGrid w:val="0"/>
              <w:rPr>
                <w:rFonts w:eastAsiaTheme="majorEastAsia"/>
                <w:kern w:val="0"/>
                <w:sz w:val="18"/>
                <w:szCs w:val="18"/>
              </w:rPr>
            </w:pPr>
            <w:proofErr w:type="gramStart"/>
            <w:r w:rsidRPr="000D03B4">
              <w:rPr>
                <w:rFonts w:eastAsiaTheme="majorEastAsia"/>
                <w:kern w:val="0"/>
                <w:sz w:val="18"/>
                <w:szCs w:val="18"/>
              </w:rPr>
              <w:t>碳排放权</w:t>
            </w:r>
            <w:proofErr w:type="gramEnd"/>
            <w:r w:rsidRPr="000D03B4">
              <w:rPr>
                <w:rFonts w:eastAsiaTheme="majorEastAsia"/>
                <w:kern w:val="0"/>
                <w:sz w:val="18"/>
                <w:szCs w:val="18"/>
              </w:rPr>
              <w:t>质押</w:t>
            </w:r>
          </w:p>
        </w:tc>
        <w:tc>
          <w:tcPr>
            <w:tcW w:w="2478" w:type="pct"/>
            <w:vMerge/>
            <w:shd w:val="clear" w:color="auto" w:fill="auto"/>
            <w:vAlign w:val="center"/>
            <w:hideMark/>
          </w:tcPr>
          <w:p w14:paraId="304B60F4" w14:textId="77777777" w:rsidR="00625E01" w:rsidRPr="000D03B4" w:rsidRDefault="00625E01" w:rsidP="00A745DB">
            <w:pPr>
              <w:widowControl/>
              <w:adjustRightInd w:val="0"/>
              <w:snapToGrid w:val="0"/>
              <w:rPr>
                <w:rFonts w:eastAsiaTheme="majorEastAsia"/>
                <w:kern w:val="0"/>
                <w:sz w:val="18"/>
                <w:szCs w:val="18"/>
              </w:rPr>
            </w:pPr>
          </w:p>
        </w:tc>
      </w:tr>
      <w:tr w:rsidR="00625E01" w:rsidRPr="000D03B4" w14:paraId="02180E0A" w14:textId="77777777" w:rsidTr="00DE61FF">
        <w:trPr>
          <w:gridAfter w:val="1"/>
          <w:wAfter w:w="16" w:type="pct"/>
          <w:trHeight w:val="552"/>
        </w:trPr>
        <w:tc>
          <w:tcPr>
            <w:tcW w:w="242" w:type="pct"/>
            <w:shd w:val="clear" w:color="auto" w:fill="auto"/>
            <w:noWrap/>
            <w:vAlign w:val="center"/>
            <w:hideMark/>
          </w:tcPr>
          <w:p w14:paraId="7E7F0029" w14:textId="26C73E9E" w:rsidR="00625E01" w:rsidRPr="000D03B4" w:rsidRDefault="00625E01"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64</w:t>
            </w:r>
          </w:p>
        </w:tc>
        <w:tc>
          <w:tcPr>
            <w:tcW w:w="204" w:type="pct"/>
            <w:vMerge/>
            <w:shd w:val="clear" w:color="auto" w:fill="auto"/>
            <w:vAlign w:val="center"/>
            <w:hideMark/>
          </w:tcPr>
          <w:p w14:paraId="5E22D747" w14:textId="77777777" w:rsidR="00625E01" w:rsidRPr="000D03B4" w:rsidRDefault="00625E01"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9A9A3A5" w14:textId="77777777" w:rsidR="00625E01" w:rsidRPr="000D03B4" w:rsidRDefault="00625E01"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7BF7DD82" w14:textId="4F6383A6" w:rsidR="00625E01" w:rsidRPr="000D03B4" w:rsidRDefault="00625E01"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1.8.3</w:t>
            </w:r>
          </w:p>
        </w:tc>
        <w:tc>
          <w:tcPr>
            <w:tcW w:w="1258" w:type="pct"/>
            <w:shd w:val="clear" w:color="auto" w:fill="auto"/>
            <w:noWrap/>
            <w:vAlign w:val="center"/>
            <w:hideMark/>
          </w:tcPr>
          <w:p w14:paraId="6EF9CC12" w14:textId="77777777" w:rsidR="00625E01" w:rsidRPr="000D03B4" w:rsidRDefault="00625E01" w:rsidP="00A745DB">
            <w:pPr>
              <w:widowControl/>
              <w:adjustRightInd w:val="0"/>
              <w:snapToGrid w:val="0"/>
              <w:rPr>
                <w:rFonts w:eastAsiaTheme="majorEastAsia"/>
                <w:kern w:val="0"/>
                <w:sz w:val="18"/>
                <w:szCs w:val="18"/>
              </w:rPr>
            </w:pPr>
            <w:r w:rsidRPr="000D03B4">
              <w:rPr>
                <w:rFonts w:eastAsiaTheme="majorEastAsia"/>
                <w:kern w:val="0"/>
                <w:sz w:val="18"/>
                <w:szCs w:val="18"/>
              </w:rPr>
              <w:t>生态价值补偿价值</w:t>
            </w:r>
          </w:p>
        </w:tc>
        <w:tc>
          <w:tcPr>
            <w:tcW w:w="2478" w:type="pct"/>
            <w:vMerge/>
            <w:shd w:val="clear" w:color="auto" w:fill="auto"/>
            <w:vAlign w:val="center"/>
            <w:hideMark/>
          </w:tcPr>
          <w:p w14:paraId="0016B485" w14:textId="1DA26273" w:rsidR="00625E01" w:rsidRPr="000D03B4" w:rsidRDefault="00625E01" w:rsidP="00A745DB">
            <w:pPr>
              <w:widowControl/>
              <w:adjustRightInd w:val="0"/>
              <w:snapToGrid w:val="0"/>
              <w:rPr>
                <w:rFonts w:eastAsiaTheme="majorEastAsia"/>
                <w:b/>
                <w:i/>
                <w:kern w:val="0"/>
                <w:sz w:val="18"/>
                <w:szCs w:val="18"/>
              </w:rPr>
            </w:pPr>
          </w:p>
        </w:tc>
      </w:tr>
      <w:tr w:rsidR="00625E01" w:rsidRPr="000D03B4" w14:paraId="65662292" w14:textId="77777777" w:rsidTr="00DE61FF">
        <w:trPr>
          <w:gridAfter w:val="1"/>
          <w:wAfter w:w="16" w:type="pct"/>
          <w:trHeight w:val="529"/>
        </w:trPr>
        <w:tc>
          <w:tcPr>
            <w:tcW w:w="242" w:type="pct"/>
            <w:shd w:val="clear" w:color="auto" w:fill="auto"/>
            <w:noWrap/>
            <w:vAlign w:val="center"/>
            <w:hideMark/>
          </w:tcPr>
          <w:p w14:paraId="6FDF4031" w14:textId="308C667C" w:rsidR="00625E01" w:rsidRPr="000D03B4" w:rsidRDefault="00625E01"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65</w:t>
            </w:r>
          </w:p>
        </w:tc>
        <w:tc>
          <w:tcPr>
            <w:tcW w:w="204" w:type="pct"/>
            <w:vMerge/>
            <w:shd w:val="clear" w:color="auto" w:fill="auto"/>
            <w:vAlign w:val="center"/>
            <w:hideMark/>
          </w:tcPr>
          <w:p w14:paraId="5C534748" w14:textId="77777777" w:rsidR="00625E01" w:rsidRPr="000D03B4" w:rsidRDefault="00625E01"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01E26BA1" w14:textId="77777777" w:rsidR="00625E01" w:rsidRPr="000D03B4" w:rsidRDefault="00625E01"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647A420" w14:textId="1C66BCAA" w:rsidR="00625E01" w:rsidRPr="000D03B4" w:rsidRDefault="00625E01"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1.8.4</w:t>
            </w:r>
          </w:p>
        </w:tc>
        <w:tc>
          <w:tcPr>
            <w:tcW w:w="1258" w:type="pct"/>
            <w:shd w:val="clear" w:color="auto" w:fill="auto"/>
            <w:noWrap/>
            <w:vAlign w:val="center"/>
            <w:hideMark/>
          </w:tcPr>
          <w:p w14:paraId="65705902" w14:textId="77777777" w:rsidR="00625E01" w:rsidRPr="000D03B4" w:rsidRDefault="00625E01" w:rsidP="00A745DB">
            <w:pPr>
              <w:widowControl/>
              <w:adjustRightInd w:val="0"/>
              <w:snapToGrid w:val="0"/>
              <w:rPr>
                <w:rFonts w:eastAsiaTheme="majorEastAsia"/>
                <w:kern w:val="0"/>
                <w:sz w:val="18"/>
                <w:szCs w:val="18"/>
              </w:rPr>
            </w:pPr>
            <w:r w:rsidRPr="000D03B4">
              <w:rPr>
                <w:rFonts w:eastAsiaTheme="majorEastAsia"/>
                <w:kern w:val="0"/>
                <w:sz w:val="18"/>
                <w:szCs w:val="18"/>
              </w:rPr>
              <w:t>森林生态价值补偿</w:t>
            </w:r>
          </w:p>
        </w:tc>
        <w:tc>
          <w:tcPr>
            <w:tcW w:w="2478" w:type="pct"/>
            <w:vMerge/>
            <w:shd w:val="clear" w:color="auto" w:fill="auto"/>
            <w:vAlign w:val="center"/>
          </w:tcPr>
          <w:p w14:paraId="22139C76" w14:textId="6E4F2056" w:rsidR="00625E01" w:rsidRPr="000D03B4" w:rsidRDefault="00625E01" w:rsidP="00A745DB">
            <w:pPr>
              <w:adjustRightInd w:val="0"/>
              <w:snapToGrid w:val="0"/>
              <w:rPr>
                <w:rFonts w:eastAsiaTheme="majorEastAsia"/>
                <w:kern w:val="0"/>
                <w:sz w:val="18"/>
                <w:szCs w:val="18"/>
              </w:rPr>
            </w:pPr>
          </w:p>
        </w:tc>
      </w:tr>
      <w:tr w:rsidR="00625E01" w:rsidRPr="000D03B4" w14:paraId="2932B763" w14:textId="77777777" w:rsidTr="00DE61FF">
        <w:trPr>
          <w:gridAfter w:val="1"/>
          <w:wAfter w:w="16" w:type="pct"/>
          <w:trHeight w:val="283"/>
        </w:trPr>
        <w:tc>
          <w:tcPr>
            <w:tcW w:w="242" w:type="pct"/>
            <w:shd w:val="clear" w:color="auto" w:fill="auto"/>
            <w:noWrap/>
            <w:vAlign w:val="center"/>
            <w:hideMark/>
          </w:tcPr>
          <w:p w14:paraId="1A4934BA" w14:textId="7B619135" w:rsidR="00625E01" w:rsidRPr="000D03B4" w:rsidRDefault="00625E01" w:rsidP="00D95167">
            <w:pPr>
              <w:widowControl/>
              <w:adjustRightInd w:val="0"/>
              <w:snapToGrid w:val="0"/>
              <w:jc w:val="center"/>
              <w:rPr>
                <w:rFonts w:eastAsiaTheme="majorEastAsia"/>
                <w:kern w:val="0"/>
                <w:sz w:val="18"/>
                <w:szCs w:val="18"/>
              </w:rPr>
            </w:pPr>
            <w:r w:rsidRPr="000D03B4">
              <w:rPr>
                <w:rFonts w:eastAsiaTheme="majorEastAsia"/>
                <w:kern w:val="0"/>
                <w:sz w:val="18"/>
                <w:szCs w:val="18"/>
              </w:rPr>
              <w:t>66</w:t>
            </w:r>
          </w:p>
        </w:tc>
        <w:tc>
          <w:tcPr>
            <w:tcW w:w="204" w:type="pct"/>
            <w:vMerge/>
            <w:shd w:val="clear" w:color="auto" w:fill="auto"/>
            <w:vAlign w:val="center"/>
            <w:hideMark/>
          </w:tcPr>
          <w:p w14:paraId="7964DA10" w14:textId="77777777" w:rsidR="00625E01" w:rsidRPr="000D03B4" w:rsidRDefault="00625E01"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D0E922C" w14:textId="77777777" w:rsidR="00625E01" w:rsidRPr="000D03B4" w:rsidRDefault="00625E01"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30A6D4A" w14:textId="15D1EF49" w:rsidR="00625E01" w:rsidRPr="000D03B4" w:rsidRDefault="00625E01"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1.8.5</w:t>
            </w:r>
          </w:p>
        </w:tc>
        <w:tc>
          <w:tcPr>
            <w:tcW w:w="1258" w:type="pct"/>
            <w:shd w:val="clear" w:color="auto" w:fill="auto"/>
            <w:noWrap/>
            <w:vAlign w:val="center"/>
            <w:hideMark/>
          </w:tcPr>
          <w:p w14:paraId="620F7869" w14:textId="19F887A6" w:rsidR="00625E01" w:rsidRPr="000D03B4" w:rsidRDefault="00625E01" w:rsidP="00033E91">
            <w:pPr>
              <w:widowControl/>
              <w:adjustRightInd w:val="0"/>
              <w:snapToGrid w:val="0"/>
              <w:rPr>
                <w:rFonts w:eastAsiaTheme="majorEastAsia"/>
                <w:kern w:val="0"/>
                <w:sz w:val="18"/>
                <w:szCs w:val="18"/>
              </w:rPr>
            </w:pPr>
            <w:r w:rsidRPr="000D03B4">
              <w:rPr>
                <w:rFonts w:eastAsiaTheme="majorEastAsia"/>
                <w:kern w:val="0"/>
                <w:sz w:val="18"/>
                <w:szCs w:val="18"/>
              </w:rPr>
              <w:t>环境损失评估</w:t>
            </w:r>
          </w:p>
        </w:tc>
        <w:tc>
          <w:tcPr>
            <w:tcW w:w="2478" w:type="pct"/>
            <w:vMerge/>
            <w:shd w:val="clear" w:color="auto" w:fill="auto"/>
            <w:vAlign w:val="center"/>
          </w:tcPr>
          <w:p w14:paraId="068B4DC2" w14:textId="21E02CD6" w:rsidR="00625E01" w:rsidRPr="000D03B4" w:rsidRDefault="00625E01" w:rsidP="00A745DB">
            <w:pPr>
              <w:widowControl/>
              <w:adjustRightInd w:val="0"/>
              <w:snapToGrid w:val="0"/>
              <w:rPr>
                <w:rFonts w:eastAsiaTheme="majorEastAsia"/>
                <w:kern w:val="0"/>
                <w:sz w:val="18"/>
                <w:szCs w:val="18"/>
              </w:rPr>
            </w:pPr>
          </w:p>
        </w:tc>
      </w:tr>
      <w:tr w:rsidR="00DE61FF" w:rsidRPr="000D03B4" w14:paraId="7A40124C" w14:textId="77777777" w:rsidTr="00DE61FF">
        <w:trPr>
          <w:gridAfter w:val="1"/>
          <w:wAfter w:w="16" w:type="pct"/>
          <w:trHeight w:val="283"/>
        </w:trPr>
        <w:tc>
          <w:tcPr>
            <w:tcW w:w="242" w:type="pct"/>
            <w:shd w:val="clear" w:color="auto" w:fill="auto"/>
            <w:noWrap/>
            <w:vAlign w:val="center"/>
            <w:hideMark/>
          </w:tcPr>
          <w:p w14:paraId="19B21561" w14:textId="6959E656"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w:t>
            </w:r>
            <w:r w:rsidR="00D95167" w:rsidRPr="000D03B4">
              <w:rPr>
                <w:rFonts w:eastAsiaTheme="majorEastAsia"/>
                <w:kern w:val="0"/>
                <w:sz w:val="18"/>
                <w:szCs w:val="18"/>
              </w:rPr>
              <w:t>6</w:t>
            </w:r>
            <w:r w:rsidR="005B0529" w:rsidRPr="000D03B4">
              <w:rPr>
                <w:rFonts w:eastAsiaTheme="majorEastAsia"/>
                <w:kern w:val="0"/>
                <w:sz w:val="18"/>
                <w:szCs w:val="18"/>
              </w:rPr>
              <w:t>7</w:t>
            </w:r>
          </w:p>
        </w:tc>
        <w:tc>
          <w:tcPr>
            <w:tcW w:w="204" w:type="pct"/>
            <w:vMerge/>
            <w:shd w:val="clear" w:color="auto" w:fill="auto"/>
            <w:vAlign w:val="center"/>
            <w:hideMark/>
          </w:tcPr>
          <w:p w14:paraId="4F59F1E3"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8A167A2"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73118758" w14:textId="63FE14EC"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.6</w:t>
            </w:r>
          </w:p>
        </w:tc>
        <w:tc>
          <w:tcPr>
            <w:tcW w:w="1258" w:type="pct"/>
            <w:shd w:val="clear" w:color="auto" w:fill="auto"/>
            <w:noWrap/>
            <w:vAlign w:val="center"/>
            <w:hideMark/>
          </w:tcPr>
          <w:p w14:paraId="02821E7A" w14:textId="061F2595"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存量</w:t>
            </w:r>
            <w:r w:rsidRPr="000D03B4">
              <w:rPr>
                <w:rFonts w:eastAsiaTheme="majorEastAsia"/>
                <w:kern w:val="0"/>
                <w:sz w:val="18"/>
                <w:szCs w:val="18"/>
              </w:rPr>
              <w:t>PPP</w:t>
            </w:r>
            <w:r w:rsidRPr="000D03B4">
              <w:rPr>
                <w:rFonts w:eastAsiaTheme="majorEastAsia"/>
                <w:kern w:val="0"/>
                <w:sz w:val="18"/>
                <w:szCs w:val="18"/>
              </w:rPr>
              <w:t>项目实施中的资产评估</w:t>
            </w:r>
          </w:p>
        </w:tc>
        <w:tc>
          <w:tcPr>
            <w:tcW w:w="2478" w:type="pct"/>
            <w:vMerge w:val="restart"/>
            <w:shd w:val="clear" w:color="auto" w:fill="auto"/>
            <w:vAlign w:val="center"/>
            <w:hideMark/>
          </w:tcPr>
          <w:p w14:paraId="54D7EA30" w14:textId="42C05ACE" w:rsidR="004C1D48" w:rsidRPr="000D03B4" w:rsidRDefault="004C1D48" w:rsidP="00264E2B">
            <w:pPr>
              <w:widowControl/>
              <w:adjustRightInd w:val="0"/>
              <w:snapToGrid w:val="0"/>
              <w:jc w:val="left"/>
              <w:rPr>
                <w:rFonts w:eastAsiaTheme="majorEastAsia"/>
                <w:kern w:val="0"/>
                <w:sz w:val="18"/>
                <w:szCs w:val="18"/>
              </w:rPr>
            </w:pPr>
            <w:r w:rsidRPr="000D03B4">
              <w:rPr>
                <w:kern w:val="0"/>
                <w:sz w:val="18"/>
                <w:szCs w:val="18"/>
              </w:rPr>
              <w:t>（</w:t>
            </w:r>
            <w:r w:rsidRPr="000D03B4">
              <w:rPr>
                <w:kern w:val="0"/>
                <w:sz w:val="18"/>
                <w:szCs w:val="18"/>
              </w:rPr>
              <w:t>1</w:t>
            </w:r>
            <w:r w:rsidRPr="000D03B4">
              <w:rPr>
                <w:kern w:val="0"/>
                <w:sz w:val="18"/>
                <w:szCs w:val="18"/>
              </w:rPr>
              <w:t>）</w:t>
            </w:r>
            <w:r w:rsidRPr="000D03B4">
              <w:rPr>
                <w:rFonts w:eastAsiaTheme="majorEastAsia"/>
                <w:kern w:val="0"/>
                <w:sz w:val="18"/>
                <w:szCs w:val="18"/>
              </w:rPr>
              <w:t>《关于</w:t>
            </w:r>
            <w:r w:rsidRPr="000D03B4">
              <w:rPr>
                <w:rFonts w:eastAsiaTheme="majorEastAsia"/>
                <w:kern w:val="0"/>
                <w:sz w:val="18"/>
                <w:szCs w:val="18"/>
              </w:rPr>
              <w:t>&lt;</w:t>
            </w:r>
            <w:r w:rsidRPr="000D03B4">
              <w:rPr>
                <w:rFonts w:eastAsiaTheme="majorEastAsia"/>
                <w:kern w:val="0"/>
                <w:sz w:val="18"/>
                <w:szCs w:val="18"/>
              </w:rPr>
              <w:t>政府和社会资本合作项目财政管理暂行办法</w:t>
            </w:r>
            <w:r w:rsidRPr="000D03B4">
              <w:rPr>
                <w:rFonts w:eastAsiaTheme="majorEastAsia"/>
                <w:kern w:val="0"/>
                <w:sz w:val="18"/>
                <w:szCs w:val="18"/>
              </w:rPr>
              <w:t>&gt;</w:t>
            </w:r>
            <w:r w:rsidRPr="000D03B4">
              <w:rPr>
                <w:rFonts w:eastAsiaTheme="majorEastAsia"/>
                <w:kern w:val="0"/>
                <w:sz w:val="18"/>
                <w:szCs w:val="18"/>
              </w:rPr>
              <w:t>的通知》（财金〔</w:t>
            </w:r>
            <w:r w:rsidRPr="000D03B4">
              <w:rPr>
                <w:rFonts w:eastAsiaTheme="majorEastAsia"/>
                <w:kern w:val="0"/>
                <w:sz w:val="18"/>
                <w:szCs w:val="18"/>
              </w:rPr>
              <w:t>2016</w:t>
            </w:r>
            <w:r w:rsidRPr="000D03B4">
              <w:rPr>
                <w:rFonts w:eastAsiaTheme="majorEastAsia"/>
                <w:kern w:val="0"/>
                <w:sz w:val="18"/>
                <w:szCs w:val="18"/>
              </w:rPr>
              <w:t>〕</w:t>
            </w:r>
            <w:r w:rsidRPr="000D03B4">
              <w:rPr>
                <w:rFonts w:eastAsiaTheme="majorEastAsia"/>
                <w:kern w:val="0"/>
                <w:sz w:val="18"/>
                <w:szCs w:val="18"/>
              </w:rPr>
              <w:t>92</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2</w:t>
            </w:r>
            <w:r w:rsidRPr="000D03B4">
              <w:rPr>
                <w:kern w:val="0"/>
                <w:sz w:val="18"/>
                <w:szCs w:val="18"/>
              </w:rPr>
              <w:t>）</w:t>
            </w:r>
            <w:r w:rsidRPr="000D03B4">
              <w:rPr>
                <w:rFonts w:eastAsiaTheme="majorEastAsia"/>
                <w:kern w:val="0"/>
                <w:sz w:val="18"/>
                <w:szCs w:val="18"/>
              </w:rPr>
              <w:t>《关于在公共服务领域深入推进政府和社会资本合作工作的通知》（财金〔</w:t>
            </w:r>
            <w:r w:rsidRPr="000D03B4">
              <w:rPr>
                <w:rFonts w:eastAsiaTheme="majorEastAsia"/>
                <w:kern w:val="0"/>
                <w:sz w:val="18"/>
                <w:szCs w:val="18"/>
              </w:rPr>
              <w:t>2016</w:t>
            </w:r>
            <w:r w:rsidRPr="000D03B4">
              <w:rPr>
                <w:rFonts w:eastAsiaTheme="majorEastAsia"/>
                <w:kern w:val="0"/>
                <w:sz w:val="18"/>
                <w:szCs w:val="18"/>
              </w:rPr>
              <w:t>〕</w:t>
            </w:r>
            <w:r w:rsidRPr="000D03B4">
              <w:rPr>
                <w:rFonts w:eastAsiaTheme="majorEastAsia"/>
                <w:kern w:val="0"/>
                <w:sz w:val="18"/>
                <w:szCs w:val="18"/>
              </w:rPr>
              <w:t>90</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3</w:t>
            </w:r>
            <w:r w:rsidRPr="000D03B4">
              <w:rPr>
                <w:kern w:val="0"/>
                <w:sz w:val="18"/>
                <w:szCs w:val="18"/>
              </w:rPr>
              <w:t>）</w:t>
            </w:r>
            <w:r w:rsidRPr="000D03B4">
              <w:rPr>
                <w:rFonts w:eastAsiaTheme="majorEastAsia"/>
                <w:kern w:val="0"/>
                <w:sz w:val="18"/>
                <w:szCs w:val="18"/>
              </w:rPr>
              <w:t>《关于深入推进农业领域政府和社会资本合作的实施意见》（财金〔</w:t>
            </w:r>
            <w:r w:rsidRPr="000D03B4">
              <w:rPr>
                <w:rFonts w:eastAsiaTheme="majorEastAsia"/>
                <w:kern w:val="0"/>
                <w:sz w:val="18"/>
                <w:szCs w:val="18"/>
              </w:rPr>
              <w:t>2017</w:t>
            </w:r>
            <w:r w:rsidRPr="000D03B4">
              <w:rPr>
                <w:rFonts w:eastAsiaTheme="majorEastAsia"/>
                <w:kern w:val="0"/>
                <w:sz w:val="18"/>
                <w:szCs w:val="18"/>
              </w:rPr>
              <w:t>〕</w:t>
            </w:r>
            <w:r w:rsidRPr="000D03B4">
              <w:rPr>
                <w:rFonts w:eastAsiaTheme="majorEastAsia"/>
                <w:kern w:val="0"/>
                <w:sz w:val="18"/>
                <w:szCs w:val="18"/>
              </w:rPr>
              <w:t>50</w:t>
            </w:r>
            <w:r w:rsidR="00EA7C51" w:rsidRPr="000D03B4">
              <w:rPr>
                <w:rFonts w:eastAsiaTheme="majorEastAsia"/>
                <w:kern w:val="0"/>
                <w:sz w:val="18"/>
                <w:szCs w:val="18"/>
              </w:rPr>
              <w:t>号）</w:t>
            </w:r>
            <w:r w:rsidR="00C91222">
              <w:rPr>
                <w:rFonts w:eastAsiaTheme="majorEastAsia" w:hint="eastAsia"/>
                <w:kern w:val="0"/>
                <w:sz w:val="18"/>
                <w:szCs w:val="18"/>
              </w:rPr>
              <w:t>等</w:t>
            </w:r>
            <w:r w:rsidRPr="000D03B4">
              <w:rPr>
                <w:rFonts w:eastAsiaTheme="majorEastAsia"/>
                <w:kern w:val="0"/>
                <w:sz w:val="18"/>
                <w:szCs w:val="18"/>
              </w:rPr>
              <w:t>。</w:t>
            </w:r>
          </w:p>
        </w:tc>
      </w:tr>
      <w:tr w:rsidR="00DE61FF" w:rsidRPr="000D03B4" w14:paraId="765289EC" w14:textId="77777777" w:rsidTr="00DE61FF">
        <w:trPr>
          <w:gridAfter w:val="1"/>
          <w:wAfter w:w="16" w:type="pct"/>
          <w:trHeight w:val="283"/>
        </w:trPr>
        <w:tc>
          <w:tcPr>
            <w:tcW w:w="242" w:type="pct"/>
            <w:shd w:val="clear" w:color="auto" w:fill="auto"/>
            <w:noWrap/>
            <w:vAlign w:val="center"/>
            <w:hideMark/>
          </w:tcPr>
          <w:p w14:paraId="070ADCCF" w14:textId="7A87007F"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w:t>
            </w:r>
            <w:r w:rsidR="00D95167" w:rsidRPr="000D03B4">
              <w:rPr>
                <w:rFonts w:eastAsiaTheme="majorEastAsia"/>
                <w:kern w:val="0"/>
                <w:sz w:val="18"/>
                <w:szCs w:val="18"/>
              </w:rPr>
              <w:t>6</w:t>
            </w:r>
            <w:r w:rsidR="005B0529" w:rsidRPr="000D03B4">
              <w:rPr>
                <w:rFonts w:eastAsiaTheme="majorEastAsia"/>
                <w:kern w:val="0"/>
                <w:sz w:val="18"/>
                <w:szCs w:val="18"/>
              </w:rPr>
              <w:t>8</w:t>
            </w:r>
          </w:p>
        </w:tc>
        <w:tc>
          <w:tcPr>
            <w:tcW w:w="204" w:type="pct"/>
            <w:vMerge/>
            <w:shd w:val="clear" w:color="auto" w:fill="auto"/>
            <w:vAlign w:val="center"/>
            <w:hideMark/>
          </w:tcPr>
          <w:p w14:paraId="24BBF002"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58F342A2"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7502CC1" w14:textId="27CD5FAB"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.7</w:t>
            </w:r>
          </w:p>
        </w:tc>
        <w:tc>
          <w:tcPr>
            <w:tcW w:w="1258" w:type="pct"/>
            <w:shd w:val="clear" w:color="auto" w:fill="auto"/>
            <w:noWrap/>
            <w:vAlign w:val="center"/>
            <w:hideMark/>
          </w:tcPr>
          <w:p w14:paraId="29D18ACF" w14:textId="10EEEC85"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PPP</w:t>
            </w:r>
            <w:r w:rsidRPr="000D03B4">
              <w:rPr>
                <w:rFonts w:eastAsiaTheme="majorEastAsia"/>
                <w:kern w:val="0"/>
                <w:sz w:val="18"/>
                <w:szCs w:val="18"/>
              </w:rPr>
              <w:t>项目物有所值评价</w:t>
            </w:r>
          </w:p>
        </w:tc>
        <w:tc>
          <w:tcPr>
            <w:tcW w:w="2478" w:type="pct"/>
            <w:vMerge/>
            <w:shd w:val="clear" w:color="auto" w:fill="auto"/>
            <w:vAlign w:val="center"/>
            <w:hideMark/>
          </w:tcPr>
          <w:p w14:paraId="66C6DE7F" w14:textId="77777777" w:rsidR="004C1D48" w:rsidRPr="000D03B4" w:rsidRDefault="004C1D48" w:rsidP="00264E2B">
            <w:pPr>
              <w:widowControl/>
              <w:adjustRightInd w:val="0"/>
              <w:snapToGrid w:val="0"/>
              <w:jc w:val="left"/>
              <w:rPr>
                <w:rFonts w:eastAsiaTheme="majorEastAsia"/>
                <w:kern w:val="0"/>
                <w:sz w:val="18"/>
                <w:szCs w:val="18"/>
              </w:rPr>
            </w:pPr>
          </w:p>
        </w:tc>
      </w:tr>
      <w:tr w:rsidR="00DE61FF" w:rsidRPr="000D03B4" w14:paraId="00068F66" w14:textId="77777777" w:rsidTr="00DE61FF">
        <w:trPr>
          <w:gridAfter w:val="1"/>
          <w:wAfter w:w="16" w:type="pct"/>
          <w:trHeight w:val="283"/>
        </w:trPr>
        <w:tc>
          <w:tcPr>
            <w:tcW w:w="242" w:type="pct"/>
            <w:shd w:val="clear" w:color="auto" w:fill="auto"/>
            <w:noWrap/>
            <w:vAlign w:val="center"/>
            <w:hideMark/>
          </w:tcPr>
          <w:p w14:paraId="57821021" w14:textId="17A66F70"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w:t>
            </w:r>
            <w:r w:rsidR="00D95167" w:rsidRPr="000D03B4">
              <w:rPr>
                <w:rFonts w:eastAsiaTheme="majorEastAsia"/>
                <w:kern w:val="0"/>
                <w:sz w:val="18"/>
                <w:szCs w:val="18"/>
              </w:rPr>
              <w:t>6</w:t>
            </w:r>
            <w:r w:rsidR="005B0529" w:rsidRPr="000D03B4">
              <w:rPr>
                <w:rFonts w:eastAsiaTheme="majorEastAsia"/>
                <w:kern w:val="0"/>
                <w:sz w:val="18"/>
                <w:szCs w:val="18"/>
              </w:rPr>
              <w:t>9</w:t>
            </w:r>
          </w:p>
        </w:tc>
        <w:tc>
          <w:tcPr>
            <w:tcW w:w="204" w:type="pct"/>
            <w:vMerge/>
            <w:shd w:val="clear" w:color="auto" w:fill="auto"/>
            <w:vAlign w:val="center"/>
            <w:hideMark/>
          </w:tcPr>
          <w:p w14:paraId="40D358C1"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0700C766"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43EE3B04" w14:textId="6E8CDAA6"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.8</w:t>
            </w:r>
          </w:p>
        </w:tc>
        <w:tc>
          <w:tcPr>
            <w:tcW w:w="1258" w:type="pct"/>
            <w:shd w:val="clear" w:color="auto" w:fill="auto"/>
            <w:noWrap/>
            <w:vAlign w:val="center"/>
            <w:hideMark/>
          </w:tcPr>
          <w:p w14:paraId="255AF3AD" w14:textId="1232013F"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PPP</w:t>
            </w:r>
            <w:r w:rsidRPr="000D03B4">
              <w:rPr>
                <w:rFonts w:eastAsiaTheme="majorEastAsia"/>
                <w:kern w:val="0"/>
                <w:sz w:val="18"/>
                <w:szCs w:val="18"/>
              </w:rPr>
              <w:t>项目中期绩效评估</w:t>
            </w:r>
          </w:p>
        </w:tc>
        <w:tc>
          <w:tcPr>
            <w:tcW w:w="2478" w:type="pct"/>
            <w:vMerge/>
            <w:shd w:val="clear" w:color="auto" w:fill="auto"/>
            <w:vAlign w:val="center"/>
            <w:hideMark/>
          </w:tcPr>
          <w:p w14:paraId="2D430AEA" w14:textId="77777777" w:rsidR="004C1D48" w:rsidRPr="000D03B4" w:rsidRDefault="004C1D48" w:rsidP="00264E2B">
            <w:pPr>
              <w:widowControl/>
              <w:adjustRightInd w:val="0"/>
              <w:snapToGrid w:val="0"/>
              <w:jc w:val="left"/>
              <w:rPr>
                <w:rFonts w:eastAsiaTheme="majorEastAsia"/>
                <w:kern w:val="0"/>
                <w:sz w:val="18"/>
                <w:szCs w:val="18"/>
              </w:rPr>
            </w:pPr>
          </w:p>
        </w:tc>
      </w:tr>
      <w:tr w:rsidR="00DE61FF" w:rsidRPr="000D03B4" w14:paraId="003D4D92" w14:textId="77777777" w:rsidTr="00DE61FF">
        <w:trPr>
          <w:gridAfter w:val="1"/>
          <w:wAfter w:w="16" w:type="pct"/>
          <w:trHeight w:val="283"/>
        </w:trPr>
        <w:tc>
          <w:tcPr>
            <w:tcW w:w="242" w:type="pct"/>
            <w:shd w:val="clear" w:color="auto" w:fill="auto"/>
            <w:noWrap/>
            <w:vAlign w:val="center"/>
            <w:hideMark/>
          </w:tcPr>
          <w:p w14:paraId="16B7EE1C" w14:textId="1A3EFDC2"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w:t>
            </w:r>
            <w:r w:rsidR="005B0529" w:rsidRPr="000D03B4">
              <w:rPr>
                <w:rFonts w:eastAsiaTheme="majorEastAsia"/>
                <w:kern w:val="0"/>
                <w:sz w:val="18"/>
                <w:szCs w:val="18"/>
              </w:rPr>
              <w:t>70</w:t>
            </w:r>
          </w:p>
        </w:tc>
        <w:tc>
          <w:tcPr>
            <w:tcW w:w="204" w:type="pct"/>
            <w:vMerge/>
            <w:shd w:val="clear" w:color="auto" w:fill="auto"/>
            <w:vAlign w:val="center"/>
            <w:hideMark/>
          </w:tcPr>
          <w:p w14:paraId="27553864"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0B6115DB"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6903343" w14:textId="04C04D04"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.9</w:t>
            </w:r>
          </w:p>
        </w:tc>
        <w:tc>
          <w:tcPr>
            <w:tcW w:w="1258" w:type="pct"/>
            <w:shd w:val="clear" w:color="auto" w:fill="auto"/>
            <w:noWrap/>
            <w:vAlign w:val="center"/>
            <w:hideMark/>
          </w:tcPr>
          <w:p w14:paraId="050B521F" w14:textId="327730AD"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存量</w:t>
            </w:r>
            <w:r w:rsidRPr="000D03B4">
              <w:rPr>
                <w:rFonts w:eastAsiaTheme="majorEastAsia"/>
                <w:kern w:val="0"/>
                <w:sz w:val="18"/>
                <w:szCs w:val="18"/>
              </w:rPr>
              <w:t>PPP</w:t>
            </w:r>
            <w:r w:rsidRPr="000D03B4">
              <w:rPr>
                <w:rFonts w:eastAsiaTheme="majorEastAsia"/>
                <w:kern w:val="0"/>
                <w:sz w:val="18"/>
                <w:szCs w:val="18"/>
              </w:rPr>
              <w:t>项目中国有资产、股权转让</w:t>
            </w:r>
          </w:p>
        </w:tc>
        <w:tc>
          <w:tcPr>
            <w:tcW w:w="2478" w:type="pct"/>
            <w:vMerge/>
            <w:shd w:val="clear" w:color="auto" w:fill="auto"/>
            <w:vAlign w:val="center"/>
            <w:hideMark/>
          </w:tcPr>
          <w:p w14:paraId="1E5A10A5" w14:textId="77777777" w:rsidR="004C1D48" w:rsidRPr="000D03B4" w:rsidRDefault="004C1D48" w:rsidP="00264E2B">
            <w:pPr>
              <w:widowControl/>
              <w:adjustRightInd w:val="0"/>
              <w:snapToGrid w:val="0"/>
              <w:jc w:val="left"/>
              <w:rPr>
                <w:rFonts w:eastAsiaTheme="majorEastAsia"/>
                <w:kern w:val="0"/>
                <w:sz w:val="18"/>
                <w:szCs w:val="18"/>
              </w:rPr>
            </w:pPr>
          </w:p>
        </w:tc>
      </w:tr>
      <w:tr w:rsidR="00DE61FF" w:rsidRPr="000D03B4" w14:paraId="40E7021A" w14:textId="77777777" w:rsidTr="00DE61FF">
        <w:trPr>
          <w:gridAfter w:val="1"/>
          <w:wAfter w:w="16" w:type="pct"/>
          <w:trHeight w:val="283"/>
        </w:trPr>
        <w:tc>
          <w:tcPr>
            <w:tcW w:w="242" w:type="pct"/>
            <w:shd w:val="clear" w:color="auto" w:fill="auto"/>
            <w:noWrap/>
            <w:vAlign w:val="center"/>
            <w:hideMark/>
          </w:tcPr>
          <w:p w14:paraId="4AD577AC" w14:textId="0AE26370"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w:t>
            </w:r>
            <w:r w:rsidR="00D95167" w:rsidRPr="000D03B4">
              <w:rPr>
                <w:rFonts w:eastAsiaTheme="majorEastAsia"/>
                <w:kern w:val="0"/>
                <w:sz w:val="18"/>
                <w:szCs w:val="18"/>
              </w:rPr>
              <w:t>7</w:t>
            </w:r>
            <w:r w:rsidR="005B0529" w:rsidRPr="000D03B4">
              <w:rPr>
                <w:rFonts w:eastAsiaTheme="majorEastAsia"/>
                <w:kern w:val="0"/>
                <w:sz w:val="18"/>
                <w:szCs w:val="18"/>
              </w:rPr>
              <w:t>1</w:t>
            </w:r>
          </w:p>
        </w:tc>
        <w:tc>
          <w:tcPr>
            <w:tcW w:w="204" w:type="pct"/>
            <w:vMerge/>
            <w:shd w:val="clear" w:color="auto" w:fill="auto"/>
            <w:vAlign w:val="center"/>
            <w:hideMark/>
          </w:tcPr>
          <w:p w14:paraId="594998BC"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7754361"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8A6CD55" w14:textId="11309578"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.10</w:t>
            </w:r>
          </w:p>
        </w:tc>
        <w:tc>
          <w:tcPr>
            <w:tcW w:w="1258" w:type="pct"/>
            <w:shd w:val="clear" w:color="auto" w:fill="auto"/>
            <w:noWrap/>
            <w:vAlign w:val="center"/>
            <w:hideMark/>
          </w:tcPr>
          <w:p w14:paraId="622021B3" w14:textId="276C5233"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PPP</w:t>
            </w:r>
            <w:r w:rsidRPr="000D03B4">
              <w:rPr>
                <w:rFonts w:eastAsiaTheme="majorEastAsia"/>
                <w:kern w:val="0"/>
                <w:sz w:val="18"/>
                <w:szCs w:val="18"/>
              </w:rPr>
              <w:t>项目合作期满移交资产评估</w:t>
            </w:r>
          </w:p>
        </w:tc>
        <w:tc>
          <w:tcPr>
            <w:tcW w:w="2478" w:type="pct"/>
            <w:vMerge/>
            <w:shd w:val="clear" w:color="auto" w:fill="auto"/>
            <w:vAlign w:val="center"/>
            <w:hideMark/>
          </w:tcPr>
          <w:p w14:paraId="05B9B87B" w14:textId="77777777" w:rsidR="004C1D48" w:rsidRPr="000D03B4" w:rsidRDefault="004C1D48" w:rsidP="00264E2B">
            <w:pPr>
              <w:widowControl/>
              <w:adjustRightInd w:val="0"/>
              <w:snapToGrid w:val="0"/>
              <w:jc w:val="left"/>
              <w:rPr>
                <w:rFonts w:eastAsiaTheme="majorEastAsia"/>
                <w:kern w:val="0"/>
                <w:sz w:val="18"/>
                <w:szCs w:val="18"/>
              </w:rPr>
            </w:pPr>
          </w:p>
        </w:tc>
      </w:tr>
      <w:tr w:rsidR="00DE61FF" w:rsidRPr="000D03B4" w14:paraId="7722D0EC" w14:textId="77777777" w:rsidTr="00DE61FF">
        <w:trPr>
          <w:gridAfter w:val="1"/>
          <w:wAfter w:w="16" w:type="pct"/>
          <w:trHeight w:val="283"/>
        </w:trPr>
        <w:tc>
          <w:tcPr>
            <w:tcW w:w="242" w:type="pct"/>
            <w:shd w:val="clear" w:color="auto" w:fill="auto"/>
            <w:noWrap/>
            <w:vAlign w:val="center"/>
            <w:hideMark/>
          </w:tcPr>
          <w:p w14:paraId="79487ADB" w14:textId="625554ED"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N7</w:t>
            </w:r>
            <w:r w:rsidR="005B0529" w:rsidRPr="000D03B4">
              <w:rPr>
                <w:rFonts w:eastAsiaTheme="majorEastAsia"/>
                <w:kern w:val="0"/>
                <w:sz w:val="18"/>
                <w:szCs w:val="18"/>
              </w:rPr>
              <w:t>2</w:t>
            </w:r>
          </w:p>
        </w:tc>
        <w:tc>
          <w:tcPr>
            <w:tcW w:w="204" w:type="pct"/>
            <w:vMerge/>
            <w:shd w:val="clear" w:color="auto" w:fill="auto"/>
            <w:vAlign w:val="center"/>
            <w:hideMark/>
          </w:tcPr>
          <w:p w14:paraId="07845BF9"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BC9163A"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C66A6CE" w14:textId="0D3ADE5C"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.11</w:t>
            </w:r>
          </w:p>
        </w:tc>
        <w:tc>
          <w:tcPr>
            <w:tcW w:w="1258" w:type="pct"/>
            <w:shd w:val="clear" w:color="auto" w:fill="auto"/>
            <w:noWrap/>
            <w:vAlign w:val="center"/>
            <w:hideMark/>
          </w:tcPr>
          <w:p w14:paraId="391A10B7" w14:textId="11E088FC"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PPP</w:t>
            </w:r>
            <w:r w:rsidRPr="000D03B4">
              <w:rPr>
                <w:rFonts w:eastAsiaTheme="majorEastAsia"/>
                <w:kern w:val="0"/>
                <w:sz w:val="18"/>
                <w:szCs w:val="18"/>
              </w:rPr>
              <w:t>项目公司资产证券化</w:t>
            </w:r>
          </w:p>
        </w:tc>
        <w:tc>
          <w:tcPr>
            <w:tcW w:w="2478" w:type="pct"/>
            <w:vMerge w:val="restart"/>
            <w:shd w:val="clear" w:color="auto" w:fill="auto"/>
            <w:vAlign w:val="center"/>
            <w:hideMark/>
          </w:tcPr>
          <w:p w14:paraId="38001B44" w14:textId="77777777" w:rsidR="004C1D48" w:rsidRPr="000D03B4" w:rsidRDefault="004C1D48"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《关于规范开展政府和社会资本合作项目资产证券化有关事宜的通知》（财金〔</w:t>
            </w:r>
            <w:r w:rsidRPr="000D03B4">
              <w:rPr>
                <w:rFonts w:eastAsiaTheme="majorEastAsia"/>
                <w:kern w:val="0"/>
                <w:sz w:val="18"/>
                <w:szCs w:val="18"/>
              </w:rPr>
              <w:t>2017</w:t>
            </w:r>
            <w:r w:rsidRPr="000D03B4">
              <w:rPr>
                <w:rFonts w:eastAsiaTheme="majorEastAsia"/>
                <w:kern w:val="0"/>
                <w:sz w:val="18"/>
                <w:szCs w:val="18"/>
              </w:rPr>
              <w:t>〕</w:t>
            </w:r>
            <w:r w:rsidRPr="000D03B4">
              <w:rPr>
                <w:rFonts w:eastAsiaTheme="majorEastAsia"/>
                <w:kern w:val="0"/>
                <w:sz w:val="18"/>
                <w:szCs w:val="18"/>
              </w:rPr>
              <w:t>55</w:t>
            </w:r>
            <w:r w:rsidRPr="000D03B4">
              <w:rPr>
                <w:rFonts w:eastAsiaTheme="majorEastAsia"/>
                <w:kern w:val="0"/>
                <w:sz w:val="18"/>
                <w:szCs w:val="18"/>
              </w:rPr>
              <w:t>号）</w:t>
            </w:r>
          </w:p>
        </w:tc>
      </w:tr>
      <w:tr w:rsidR="00DE61FF" w:rsidRPr="000D03B4" w14:paraId="422F623F" w14:textId="77777777" w:rsidTr="00DE61FF">
        <w:trPr>
          <w:gridAfter w:val="1"/>
          <w:wAfter w:w="16" w:type="pct"/>
          <w:trHeight w:val="283"/>
        </w:trPr>
        <w:tc>
          <w:tcPr>
            <w:tcW w:w="242" w:type="pct"/>
            <w:shd w:val="clear" w:color="auto" w:fill="auto"/>
            <w:noWrap/>
            <w:vAlign w:val="center"/>
            <w:hideMark/>
          </w:tcPr>
          <w:p w14:paraId="0DB5EA0B" w14:textId="0C9BA2F2"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N7</w:t>
            </w:r>
            <w:r w:rsidR="005B0529" w:rsidRPr="000D03B4">
              <w:rPr>
                <w:rFonts w:eastAsiaTheme="majorEastAsia"/>
                <w:kern w:val="0"/>
                <w:sz w:val="18"/>
                <w:szCs w:val="18"/>
              </w:rPr>
              <w:t>3</w:t>
            </w:r>
          </w:p>
        </w:tc>
        <w:tc>
          <w:tcPr>
            <w:tcW w:w="204" w:type="pct"/>
            <w:vMerge/>
            <w:shd w:val="clear" w:color="auto" w:fill="auto"/>
            <w:vAlign w:val="center"/>
            <w:hideMark/>
          </w:tcPr>
          <w:p w14:paraId="3A1BEBDE"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5C3480A2"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537B0A6" w14:textId="5C604E38"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.12</w:t>
            </w:r>
          </w:p>
        </w:tc>
        <w:tc>
          <w:tcPr>
            <w:tcW w:w="1258" w:type="pct"/>
            <w:shd w:val="clear" w:color="auto" w:fill="auto"/>
            <w:noWrap/>
            <w:vAlign w:val="center"/>
            <w:hideMark/>
          </w:tcPr>
          <w:p w14:paraId="2480BC6E" w14:textId="4271A751"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PPP</w:t>
            </w:r>
            <w:r w:rsidRPr="000D03B4">
              <w:rPr>
                <w:rFonts w:eastAsiaTheme="majorEastAsia"/>
                <w:kern w:val="0"/>
                <w:sz w:val="18"/>
                <w:szCs w:val="18"/>
              </w:rPr>
              <w:t>项目公司股东资产证券化</w:t>
            </w:r>
          </w:p>
        </w:tc>
        <w:tc>
          <w:tcPr>
            <w:tcW w:w="2478" w:type="pct"/>
            <w:vMerge/>
            <w:shd w:val="clear" w:color="auto" w:fill="auto"/>
            <w:vAlign w:val="center"/>
            <w:hideMark/>
          </w:tcPr>
          <w:p w14:paraId="79C97F8E" w14:textId="77777777" w:rsidR="004C1D48" w:rsidRPr="000D03B4" w:rsidRDefault="004C1D48" w:rsidP="00A745DB">
            <w:pPr>
              <w:widowControl/>
              <w:adjustRightInd w:val="0"/>
              <w:snapToGrid w:val="0"/>
              <w:rPr>
                <w:rFonts w:eastAsiaTheme="majorEastAsia"/>
                <w:kern w:val="0"/>
                <w:sz w:val="18"/>
                <w:szCs w:val="18"/>
              </w:rPr>
            </w:pPr>
          </w:p>
        </w:tc>
      </w:tr>
      <w:tr w:rsidR="00E67038" w:rsidRPr="000D03B4" w14:paraId="06291F54" w14:textId="77777777" w:rsidTr="00DE61FF">
        <w:trPr>
          <w:gridAfter w:val="1"/>
          <w:wAfter w:w="16" w:type="pct"/>
          <w:trHeight w:val="359"/>
        </w:trPr>
        <w:tc>
          <w:tcPr>
            <w:tcW w:w="242" w:type="pct"/>
            <w:shd w:val="clear" w:color="auto" w:fill="auto"/>
            <w:noWrap/>
            <w:vAlign w:val="center"/>
            <w:hideMark/>
          </w:tcPr>
          <w:p w14:paraId="2ED8E7E0" w14:textId="6B44BC08"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w:t>
            </w:r>
            <w:r w:rsidR="00D95167" w:rsidRPr="000D03B4">
              <w:rPr>
                <w:rFonts w:eastAsiaTheme="majorEastAsia"/>
                <w:kern w:val="0"/>
                <w:sz w:val="18"/>
                <w:szCs w:val="18"/>
              </w:rPr>
              <w:t>7</w:t>
            </w:r>
            <w:r w:rsidR="005B0529" w:rsidRPr="000D03B4">
              <w:rPr>
                <w:rFonts w:eastAsiaTheme="majorEastAsia"/>
                <w:kern w:val="0"/>
                <w:sz w:val="18"/>
                <w:szCs w:val="18"/>
              </w:rPr>
              <w:t>4</w:t>
            </w:r>
          </w:p>
        </w:tc>
        <w:tc>
          <w:tcPr>
            <w:tcW w:w="204" w:type="pct"/>
            <w:vMerge/>
            <w:shd w:val="clear" w:color="auto" w:fill="auto"/>
            <w:vAlign w:val="center"/>
            <w:hideMark/>
          </w:tcPr>
          <w:p w14:paraId="1F50D453"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AEE2BBF"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E11360D" w14:textId="6CE1F8DB"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.13</w:t>
            </w:r>
          </w:p>
        </w:tc>
        <w:tc>
          <w:tcPr>
            <w:tcW w:w="1258" w:type="pct"/>
            <w:shd w:val="clear" w:color="auto" w:fill="auto"/>
            <w:noWrap/>
            <w:vAlign w:val="center"/>
            <w:hideMark/>
          </w:tcPr>
          <w:p w14:paraId="15534759" w14:textId="52E46588"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PPP</w:t>
            </w:r>
            <w:r w:rsidRPr="000D03B4">
              <w:rPr>
                <w:rFonts w:eastAsiaTheme="majorEastAsia"/>
                <w:kern w:val="0"/>
                <w:sz w:val="18"/>
                <w:szCs w:val="18"/>
              </w:rPr>
              <w:t>项目公司其他相关主体资产证券化</w:t>
            </w:r>
          </w:p>
        </w:tc>
        <w:tc>
          <w:tcPr>
            <w:tcW w:w="2478" w:type="pct"/>
            <w:vMerge/>
            <w:shd w:val="clear" w:color="auto" w:fill="auto"/>
            <w:vAlign w:val="center"/>
            <w:hideMark/>
          </w:tcPr>
          <w:p w14:paraId="36E4E4C5" w14:textId="77777777" w:rsidR="004C1D48" w:rsidRPr="000D03B4" w:rsidRDefault="004C1D48" w:rsidP="00A745DB">
            <w:pPr>
              <w:widowControl/>
              <w:adjustRightInd w:val="0"/>
              <w:snapToGrid w:val="0"/>
              <w:rPr>
                <w:rFonts w:eastAsiaTheme="majorEastAsia"/>
                <w:kern w:val="0"/>
                <w:sz w:val="18"/>
                <w:szCs w:val="18"/>
              </w:rPr>
            </w:pPr>
          </w:p>
        </w:tc>
      </w:tr>
      <w:tr w:rsidR="00E67038" w:rsidRPr="000D03B4" w14:paraId="4FA189FE" w14:textId="77777777" w:rsidTr="00DE61FF">
        <w:trPr>
          <w:gridAfter w:val="1"/>
          <w:wAfter w:w="16" w:type="pct"/>
          <w:trHeight w:val="3245"/>
        </w:trPr>
        <w:tc>
          <w:tcPr>
            <w:tcW w:w="242" w:type="pct"/>
            <w:shd w:val="clear" w:color="auto" w:fill="auto"/>
            <w:noWrap/>
            <w:vAlign w:val="center"/>
            <w:hideMark/>
          </w:tcPr>
          <w:p w14:paraId="72A3911C" w14:textId="45AEF102" w:rsidR="004C1D48" w:rsidRPr="000D03B4" w:rsidRDefault="00D95167"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lastRenderedPageBreak/>
              <w:t>7</w:t>
            </w:r>
            <w:r w:rsidR="005B0529" w:rsidRPr="000D03B4">
              <w:rPr>
                <w:rFonts w:eastAsiaTheme="majorEastAsia"/>
                <w:kern w:val="0"/>
                <w:sz w:val="18"/>
                <w:szCs w:val="18"/>
              </w:rPr>
              <w:t>5</w:t>
            </w:r>
          </w:p>
        </w:tc>
        <w:tc>
          <w:tcPr>
            <w:tcW w:w="204" w:type="pct"/>
            <w:vMerge/>
            <w:shd w:val="clear" w:color="auto" w:fill="auto"/>
            <w:vAlign w:val="center"/>
            <w:hideMark/>
          </w:tcPr>
          <w:p w14:paraId="6FF8865D"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C478796"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4F294B40" w14:textId="1E1CD4D6"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.14</w:t>
            </w:r>
          </w:p>
        </w:tc>
        <w:tc>
          <w:tcPr>
            <w:tcW w:w="1258" w:type="pct"/>
            <w:shd w:val="clear" w:color="auto" w:fill="auto"/>
            <w:noWrap/>
            <w:vAlign w:val="center"/>
            <w:hideMark/>
          </w:tcPr>
          <w:p w14:paraId="7E38B435" w14:textId="77777777"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资产损害赔偿鉴定</w:t>
            </w:r>
          </w:p>
        </w:tc>
        <w:tc>
          <w:tcPr>
            <w:tcW w:w="2478" w:type="pct"/>
            <w:vMerge w:val="restart"/>
            <w:shd w:val="clear" w:color="auto" w:fill="auto"/>
            <w:vAlign w:val="center"/>
            <w:hideMark/>
          </w:tcPr>
          <w:p w14:paraId="41109794" w14:textId="77777777" w:rsidR="00264E2B" w:rsidRPr="000D03B4" w:rsidRDefault="004C1D48" w:rsidP="00264E2B">
            <w:pPr>
              <w:widowControl/>
              <w:adjustRightInd w:val="0"/>
              <w:snapToGrid w:val="0"/>
              <w:jc w:val="left"/>
              <w:rPr>
                <w:rFonts w:eastAsiaTheme="majorEastAsia"/>
                <w:kern w:val="0"/>
                <w:sz w:val="18"/>
                <w:szCs w:val="18"/>
              </w:rPr>
            </w:pPr>
            <w:r w:rsidRPr="000D03B4">
              <w:rPr>
                <w:kern w:val="0"/>
                <w:sz w:val="18"/>
                <w:szCs w:val="18"/>
              </w:rPr>
              <w:t>（</w:t>
            </w:r>
            <w:r w:rsidRPr="000D03B4">
              <w:rPr>
                <w:kern w:val="0"/>
                <w:sz w:val="18"/>
                <w:szCs w:val="18"/>
              </w:rPr>
              <w:t>1</w:t>
            </w:r>
            <w:r w:rsidRPr="000D03B4">
              <w:rPr>
                <w:kern w:val="0"/>
                <w:sz w:val="18"/>
                <w:szCs w:val="18"/>
              </w:rPr>
              <w:t>）</w:t>
            </w:r>
            <w:r w:rsidRPr="000D03B4">
              <w:rPr>
                <w:rFonts w:eastAsiaTheme="majorEastAsia"/>
                <w:kern w:val="0"/>
                <w:sz w:val="18"/>
                <w:szCs w:val="18"/>
              </w:rPr>
              <w:t>《全国人民代表大会常务委员会关于司法鉴定管理问题的决定》（</w:t>
            </w:r>
            <w:r w:rsidRPr="000D03B4">
              <w:rPr>
                <w:rFonts w:eastAsiaTheme="majorEastAsia"/>
                <w:kern w:val="0"/>
                <w:sz w:val="18"/>
                <w:szCs w:val="18"/>
              </w:rPr>
              <w:t>2005</w:t>
            </w:r>
            <w:r w:rsidRPr="000D03B4">
              <w:rPr>
                <w:rFonts w:eastAsiaTheme="majorEastAsia"/>
                <w:kern w:val="0"/>
                <w:sz w:val="18"/>
                <w:szCs w:val="18"/>
              </w:rPr>
              <w:t>年</w:t>
            </w:r>
            <w:r w:rsidRPr="000D03B4">
              <w:rPr>
                <w:rFonts w:eastAsiaTheme="majorEastAsia"/>
                <w:kern w:val="0"/>
                <w:sz w:val="18"/>
                <w:szCs w:val="18"/>
              </w:rPr>
              <w:t>2</w:t>
            </w:r>
            <w:r w:rsidRPr="000D03B4">
              <w:rPr>
                <w:rFonts w:eastAsiaTheme="majorEastAsia"/>
                <w:kern w:val="0"/>
                <w:sz w:val="18"/>
                <w:szCs w:val="18"/>
              </w:rPr>
              <w:t>月</w:t>
            </w:r>
            <w:r w:rsidRPr="000D03B4">
              <w:rPr>
                <w:rFonts w:eastAsiaTheme="majorEastAsia"/>
                <w:kern w:val="0"/>
                <w:sz w:val="18"/>
                <w:szCs w:val="18"/>
              </w:rPr>
              <w:t>28</w:t>
            </w:r>
            <w:r w:rsidRPr="000D03B4">
              <w:rPr>
                <w:rFonts w:eastAsiaTheme="majorEastAsia"/>
                <w:kern w:val="0"/>
                <w:sz w:val="18"/>
                <w:szCs w:val="18"/>
              </w:rPr>
              <w:t>日第十届全国人民代表大会常务委员会第十四次会议通过</w:t>
            </w:r>
            <w:r w:rsidRPr="000D03B4">
              <w:rPr>
                <w:rFonts w:eastAsiaTheme="majorEastAsia"/>
                <w:kern w:val="0"/>
                <w:sz w:val="18"/>
                <w:szCs w:val="18"/>
              </w:rPr>
              <w:t xml:space="preserve"> </w:t>
            </w:r>
            <w:r w:rsidRPr="000D03B4">
              <w:rPr>
                <w:rFonts w:eastAsiaTheme="majorEastAsia"/>
                <w:kern w:val="0"/>
                <w:sz w:val="18"/>
                <w:szCs w:val="18"/>
              </w:rPr>
              <w:t>根据</w:t>
            </w:r>
            <w:r w:rsidRPr="000D03B4">
              <w:rPr>
                <w:rFonts w:eastAsiaTheme="majorEastAsia"/>
                <w:kern w:val="0"/>
                <w:sz w:val="18"/>
                <w:szCs w:val="18"/>
              </w:rPr>
              <w:t>2015</w:t>
            </w:r>
            <w:r w:rsidRPr="000D03B4">
              <w:rPr>
                <w:rFonts w:eastAsiaTheme="majorEastAsia"/>
                <w:kern w:val="0"/>
                <w:sz w:val="18"/>
                <w:szCs w:val="18"/>
              </w:rPr>
              <w:t>年</w:t>
            </w:r>
            <w:r w:rsidRPr="000D03B4">
              <w:rPr>
                <w:rFonts w:eastAsiaTheme="majorEastAsia"/>
                <w:kern w:val="0"/>
                <w:sz w:val="18"/>
                <w:szCs w:val="18"/>
              </w:rPr>
              <w:t>4</w:t>
            </w:r>
            <w:r w:rsidRPr="000D03B4">
              <w:rPr>
                <w:rFonts w:eastAsiaTheme="majorEastAsia"/>
                <w:kern w:val="0"/>
                <w:sz w:val="18"/>
                <w:szCs w:val="18"/>
              </w:rPr>
              <w:t>月</w:t>
            </w:r>
            <w:r w:rsidRPr="000D03B4">
              <w:rPr>
                <w:rFonts w:eastAsiaTheme="majorEastAsia"/>
                <w:kern w:val="0"/>
                <w:sz w:val="18"/>
                <w:szCs w:val="18"/>
              </w:rPr>
              <w:t>24</w:t>
            </w:r>
            <w:r w:rsidRPr="000D03B4">
              <w:rPr>
                <w:rFonts w:eastAsiaTheme="majorEastAsia"/>
                <w:kern w:val="0"/>
                <w:sz w:val="18"/>
                <w:szCs w:val="18"/>
              </w:rPr>
              <w:t>日第十二届全国人民代表大会常务委员会第十四次会议《关于修改〈中华人民共和国义务教育法〉等五部法律的决定》修正）；</w:t>
            </w:r>
            <w:r w:rsidRPr="000D03B4">
              <w:rPr>
                <w:rFonts w:eastAsiaTheme="majorEastAsia"/>
                <w:kern w:val="0"/>
                <w:sz w:val="18"/>
                <w:szCs w:val="18"/>
              </w:rPr>
              <w:br/>
            </w:r>
            <w:r w:rsidRPr="000D03B4">
              <w:rPr>
                <w:kern w:val="0"/>
                <w:sz w:val="18"/>
                <w:szCs w:val="18"/>
              </w:rPr>
              <w:t>（</w:t>
            </w:r>
            <w:r w:rsidRPr="000D03B4">
              <w:rPr>
                <w:kern w:val="0"/>
                <w:sz w:val="18"/>
                <w:szCs w:val="18"/>
              </w:rPr>
              <w:t>2</w:t>
            </w:r>
            <w:r w:rsidRPr="000D03B4">
              <w:rPr>
                <w:kern w:val="0"/>
                <w:sz w:val="18"/>
                <w:szCs w:val="18"/>
              </w:rPr>
              <w:t>）</w:t>
            </w:r>
            <w:r w:rsidRPr="000D03B4">
              <w:rPr>
                <w:rFonts w:eastAsiaTheme="majorEastAsia"/>
                <w:kern w:val="0"/>
                <w:sz w:val="18"/>
                <w:szCs w:val="18"/>
              </w:rPr>
              <w:t>《中华人民共和国刑事诉讼法》（</w:t>
            </w:r>
            <w:r w:rsidRPr="000D03B4">
              <w:rPr>
                <w:rFonts w:eastAsiaTheme="majorEastAsia"/>
                <w:kern w:val="0"/>
                <w:sz w:val="18"/>
                <w:szCs w:val="18"/>
              </w:rPr>
              <w:t>1979</w:t>
            </w:r>
            <w:r w:rsidRPr="000D03B4">
              <w:rPr>
                <w:rFonts w:eastAsiaTheme="majorEastAsia"/>
                <w:kern w:val="0"/>
                <w:sz w:val="18"/>
                <w:szCs w:val="18"/>
              </w:rPr>
              <w:t>年</w:t>
            </w:r>
            <w:r w:rsidRPr="000D03B4">
              <w:rPr>
                <w:rFonts w:eastAsiaTheme="majorEastAsia"/>
                <w:kern w:val="0"/>
                <w:sz w:val="18"/>
                <w:szCs w:val="18"/>
              </w:rPr>
              <w:t>7</w:t>
            </w:r>
            <w:r w:rsidRPr="000D03B4">
              <w:rPr>
                <w:rFonts w:eastAsiaTheme="majorEastAsia"/>
                <w:kern w:val="0"/>
                <w:sz w:val="18"/>
                <w:szCs w:val="18"/>
              </w:rPr>
              <w:t>月</w:t>
            </w:r>
            <w:r w:rsidRPr="000D03B4">
              <w:rPr>
                <w:rFonts w:eastAsiaTheme="majorEastAsia"/>
                <w:kern w:val="0"/>
                <w:sz w:val="18"/>
                <w:szCs w:val="18"/>
              </w:rPr>
              <w:t>1</w:t>
            </w:r>
            <w:r w:rsidRPr="000D03B4">
              <w:rPr>
                <w:rFonts w:eastAsiaTheme="majorEastAsia"/>
                <w:kern w:val="0"/>
                <w:sz w:val="18"/>
                <w:szCs w:val="18"/>
              </w:rPr>
              <w:t>日第五届全国人民代表大会第二次会议通过　根据</w:t>
            </w:r>
            <w:r w:rsidRPr="000D03B4">
              <w:rPr>
                <w:rFonts w:eastAsiaTheme="majorEastAsia"/>
                <w:kern w:val="0"/>
                <w:sz w:val="18"/>
                <w:szCs w:val="18"/>
              </w:rPr>
              <w:t>1996</w:t>
            </w:r>
            <w:r w:rsidRPr="000D03B4">
              <w:rPr>
                <w:rFonts w:eastAsiaTheme="majorEastAsia"/>
                <w:kern w:val="0"/>
                <w:sz w:val="18"/>
                <w:szCs w:val="18"/>
              </w:rPr>
              <w:t>年</w:t>
            </w:r>
            <w:r w:rsidRPr="000D03B4">
              <w:rPr>
                <w:rFonts w:eastAsiaTheme="majorEastAsia"/>
                <w:kern w:val="0"/>
                <w:sz w:val="18"/>
                <w:szCs w:val="18"/>
              </w:rPr>
              <w:t>3</w:t>
            </w:r>
            <w:r w:rsidRPr="000D03B4">
              <w:rPr>
                <w:rFonts w:eastAsiaTheme="majorEastAsia"/>
                <w:kern w:val="0"/>
                <w:sz w:val="18"/>
                <w:szCs w:val="18"/>
              </w:rPr>
              <w:t>月</w:t>
            </w:r>
            <w:r w:rsidRPr="000D03B4">
              <w:rPr>
                <w:rFonts w:eastAsiaTheme="majorEastAsia"/>
                <w:kern w:val="0"/>
                <w:sz w:val="18"/>
                <w:szCs w:val="18"/>
              </w:rPr>
              <w:t>17</w:t>
            </w:r>
            <w:r w:rsidRPr="000D03B4">
              <w:rPr>
                <w:rFonts w:eastAsiaTheme="majorEastAsia"/>
                <w:kern w:val="0"/>
                <w:sz w:val="18"/>
                <w:szCs w:val="18"/>
              </w:rPr>
              <w:t>日第八届全国人民代表大会第四次会议《关于修改〈中华人民共和国刑事诉讼法〉的决定》第一次修正　根据</w:t>
            </w:r>
            <w:r w:rsidRPr="000D03B4">
              <w:rPr>
                <w:rFonts w:eastAsiaTheme="majorEastAsia"/>
                <w:kern w:val="0"/>
                <w:sz w:val="18"/>
                <w:szCs w:val="18"/>
              </w:rPr>
              <w:t>2012</w:t>
            </w:r>
            <w:r w:rsidRPr="000D03B4">
              <w:rPr>
                <w:rFonts w:eastAsiaTheme="majorEastAsia"/>
                <w:kern w:val="0"/>
                <w:sz w:val="18"/>
                <w:szCs w:val="18"/>
              </w:rPr>
              <w:t>年</w:t>
            </w:r>
            <w:r w:rsidRPr="000D03B4">
              <w:rPr>
                <w:rFonts w:eastAsiaTheme="majorEastAsia"/>
                <w:kern w:val="0"/>
                <w:sz w:val="18"/>
                <w:szCs w:val="18"/>
              </w:rPr>
              <w:t>3</w:t>
            </w:r>
            <w:r w:rsidRPr="000D03B4">
              <w:rPr>
                <w:rFonts w:eastAsiaTheme="majorEastAsia"/>
                <w:kern w:val="0"/>
                <w:sz w:val="18"/>
                <w:szCs w:val="18"/>
              </w:rPr>
              <w:t>月</w:t>
            </w:r>
            <w:r w:rsidRPr="000D03B4">
              <w:rPr>
                <w:rFonts w:eastAsiaTheme="majorEastAsia"/>
                <w:kern w:val="0"/>
                <w:sz w:val="18"/>
                <w:szCs w:val="18"/>
              </w:rPr>
              <w:t>14</w:t>
            </w:r>
            <w:r w:rsidRPr="000D03B4">
              <w:rPr>
                <w:rFonts w:eastAsiaTheme="majorEastAsia"/>
                <w:kern w:val="0"/>
                <w:sz w:val="18"/>
                <w:szCs w:val="18"/>
              </w:rPr>
              <w:t>日第十一届全国人民代表大会第五次会议《关于修改〈中华人民共和国刑事诉讼法〉的决定》第二次修正　根据</w:t>
            </w:r>
            <w:r w:rsidRPr="000D03B4">
              <w:rPr>
                <w:rFonts w:eastAsiaTheme="majorEastAsia"/>
                <w:kern w:val="0"/>
                <w:sz w:val="18"/>
                <w:szCs w:val="18"/>
              </w:rPr>
              <w:t>2018</w:t>
            </w:r>
            <w:r w:rsidRPr="000D03B4">
              <w:rPr>
                <w:rFonts w:eastAsiaTheme="majorEastAsia"/>
                <w:kern w:val="0"/>
                <w:sz w:val="18"/>
                <w:szCs w:val="18"/>
              </w:rPr>
              <w:t>年</w:t>
            </w:r>
            <w:r w:rsidRPr="000D03B4">
              <w:rPr>
                <w:rFonts w:eastAsiaTheme="majorEastAsia"/>
                <w:kern w:val="0"/>
                <w:sz w:val="18"/>
                <w:szCs w:val="18"/>
              </w:rPr>
              <w:t>10</w:t>
            </w:r>
            <w:r w:rsidRPr="000D03B4">
              <w:rPr>
                <w:rFonts w:eastAsiaTheme="majorEastAsia"/>
                <w:kern w:val="0"/>
                <w:sz w:val="18"/>
                <w:szCs w:val="18"/>
              </w:rPr>
              <w:t>月</w:t>
            </w:r>
            <w:r w:rsidRPr="000D03B4">
              <w:rPr>
                <w:rFonts w:eastAsiaTheme="majorEastAsia"/>
                <w:kern w:val="0"/>
                <w:sz w:val="18"/>
                <w:szCs w:val="18"/>
              </w:rPr>
              <w:t>26</w:t>
            </w:r>
            <w:r w:rsidRPr="000D03B4">
              <w:rPr>
                <w:rFonts w:eastAsiaTheme="majorEastAsia"/>
                <w:kern w:val="0"/>
                <w:sz w:val="18"/>
                <w:szCs w:val="18"/>
              </w:rPr>
              <w:t>日第十三届全国人民代表大会常务委员会第六次会议《关于修改〈中华人民共和国刑事诉讼法〉的决定》第三次修正）；</w:t>
            </w:r>
            <w:r w:rsidRPr="000D03B4">
              <w:rPr>
                <w:rFonts w:eastAsiaTheme="majorEastAsia"/>
                <w:kern w:val="0"/>
                <w:sz w:val="18"/>
                <w:szCs w:val="18"/>
              </w:rPr>
              <w:br/>
            </w:r>
            <w:r w:rsidRPr="000D03B4">
              <w:rPr>
                <w:kern w:val="0"/>
                <w:sz w:val="18"/>
                <w:szCs w:val="18"/>
              </w:rPr>
              <w:t>（</w:t>
            </w:r>
            <w:r w:rsidRPr="000D03B4">
              <w:rPr>
                <w:kern w:val="0"/>
                <w:sz w:val="18"/>
                <w:szCs w:val="18"/>
              </w:rPr>
              <w:t>3</w:t>
            </w:r>
            <w:r w:rsidRPr="000D03B4">
              <w:rPr>
                <w:kern w:val="0"/>
                <w:sz w:val="18"/>
                <w:szCs w:val="18"/>
              </w:rPr>
              <w:t>）</w:t>
            </w:r>
            <w:r w:rsidRPr="000D03B4">
              <w:rPr>
                <w:rFonts w:eastAsiaTheme="majorEastAsia"/>
                <w:kern w:val="0"/>
                <w:sz w:val="18"/>
                <w:szCs w:val="18"/>
              </w:rPr>
              <w:t>《中华人民共和国仲裁法》（</w:t>
            </w:r>
            <w:r w:rsidRPr="000D03B4">
              <w:rPr>
                <w:rFonts w:eastAsiaTheme="majorEastAsia"/>
                <w:kern w:val="0"/>
                <w:sz w:val="18"/>
                <w:szCs w:val="18"/>
              </w:rPr>
              <w:t>1994</w:t>
            </w:r>
            <w:r w:rsidRPr="000D03B4">
              <w:rPr>
                <w:rFonts w:eastAsiaTheme="majorEastAsia"/>
                <w:kern w:val="0"/>
                <w:sz w:val="18"/>
                <w:szCs w:val="18"/>
              </w:rPr>
              <w:t>年</w:t>
            </w:r>
            <w:r w:rsidRPr="000D03B4">
              <w:rPr>
                <w:rFonts w:eastAsiaTheme="majorEastAsia"/>
                <w:kern w:val="0"/>
                <w:sz w:val="18"/>
                <w:szCs w:val="18"/>
              </w:rPr>
              <w:t>8</w:t>
            </w:r>
            <w:r w:rsidRPr="000D03B4">
              <w:rPr>
                <w:rFonts w:eastAsiaTheme="majorEastAsia"/>
                <w:kern w:val="0"/>
                <w:sz w:val="18"/>
                <w:szCs w:val="18"/>
              </w:rPr>
              <w:t>月</w:t>
            </w:r>
            <w:r w:rsidRPr="000D03B4">
              <w:rPr>
                <w:rFonts w:eastAsiaTheme="majorEastAsia"/>
                <w:kern w:val="0"/>
                <w:sz w:val="18"/>
                <w:szCs w:val="18"/>
              </w:rPr>
              <w:t>31</w:t>
            </w:r>
            <w:r w:rsidRPr="000D03B4">
              <w:rPr>
                <w:rFonts w:eastAsiaTheme="majorEastAsia"/>
                <w:kern w:val="0"/>
                <w:sz w:val="18"/>
                <w:szCs w:val="18"/>
              </w:rPr>
              <w:t>日第八届全国人民代表大会常务委员会第九次会议通过　根据</w:t>
            </w:r>
            <w:r w:rsidRPr="000D03B4">
              <w:rPr>
                <w:rFonts w:eastAsiaTheme="majorEastAsia"/>
                <w:kern w:val="0"/>
                <w:sz w:val="18"/>
                <w:szCs w:val="18"/>
              </w:rPr>
              <w:t>2009</w:t>
            </w:r>
            <w:r w:rsidRPr="000D03B4">
              <w:rPr>
                <w:rFonts w:eastAsiaTheme="majorEastAsia"/>
                <w:kern w:val="0"/>
                <w:sz w:val="18"/>
                <w:szCs w:val="18"/>
              </w:rPr>
              <w:t>年</w:t>
            </w:r>
            <w:r w:rsidRPr="000D03B4">
              <w:rPr>
                <w:rFonts w:eastAsiaTheme="majorEastAsia"/>
                <w:kern w:val="0"/>
                <w:sz w:val="18"/>
                <w:szCs w:val="18"/>
              </w:rPr>
              <w:t>8</w:t>
            </w:r>
            <w:r w:rsidRPr="000D03B4">
              <w:rPr>
                <w:rFonts w:eastAsiaTheme="majorEastAsia"/>
                <w:kern w:val="0"/>
                <w:sz w:val="18"/>
                <w:szCs w:val="18"/>
              </w:rPr>
              <w:t>月</w:t>
            </w:r>
            <w:r w:rsidRPr="000D03B4">
              <w:rPr>
                <w:rFonts w:eastAsiaTheme="majorEastAsia"/>
                <w:kern w:val="0"/>
                <w:sz w:val="18"/>
                <w:szCs w:val="18"/>
              </w:rPr>
              <w:t>27</w:t>
            </w:r>
            <w:r w:rsidRPr="000D03B4">
              <w:rPr>
                <w:rFonts w:eastAsiaTheme="majorEastAsia"/>
                <w:kern w:val="0"/>
                <w:sz w:val="18"/>
                <w:szCs w:val="18"/>
              </w:rPr>
              <w:t>日第十一届全国人民代表大会常务委员会第十次会议《关于修改部分法律的决定》第一次修正　根据</w:t>
            </w:r>
            <w:r w:rsidRPr="000D03B4">
              <w:rPr>
                <w:rFonts w:eastAsiaTheme="majorEastAsia"/>
                <w:kern w:val="0"/>
                <w:sz w:val="18"/>
                <w:szCs w:val="18"/>
              </w:rPr>
              <w:t>2017</w:t>
            </w:r>
            <w:r w:rsidRPr="000D03B4">
              <w:rPr>
                <w:rFonts w:eastAsiaTheme="majorEastAsia"/>
                <w:kern w:val="0"/>
                <w:sz w:val="18"/>
                <w:szCs w:val="18"/>
              </w:rPr>
              <w:t>年</w:t>
            </w:r>
            <w:r w:rsidRPr="000D03B4">
              <w:rPr>
                <w:rFonts w:eastAsiaTheme="majorEastAsia"/>
                <w:kern w:val="0"/>
                <w:sz w:val="18"/>
                <w:szCs w:val="18"/>
              </w:rPr>
              <w:t>9</w:t>
            </w:r>
            <w:r w:rsidRPr="000D03B4">
              <w:rPr>
                <w:rFonts w:eastAsiaTheme="majorEastAsia"/>
                <w:kern w:val="0"/>
                <w:sz w:val="18"/>
                <w:szCs w:val="18"/>
              </w:rPr>
              <w:t>月</w:t>
            </w:r>
            <w:r w:rsidRPr="000D03B4">
              <w:rPr>
                <w:rFonts w:eastAsiaTheme="majorEastAsia"/>
                <w:kern w:val="0"/>
                <w:sz w:val="18"/>
                <w:szCs w:val="18"/>
              </w:rPr>
              <w:t>1</w:t>
            </w:r>
            <w:r w:rsidRPr="000D03B4">
              <w:rPr>
                <w:rFonts w:eastAsiaTheme="majorEastAsia"/>
                <w:kern w:val="0"/>
                <w:sz w:val="18"/>
                <w:szCs w:val="18"/>
              </w:rPr>
              <w:t>日第十二届全国人民代表大会常务委员会第二十九次会议《关于修改〈中华人民共和国法官法〉等八部法律的决定》第二次修正）；</w:t>
            </w:r>
          </w:p>
          <w:p w14:paraId="429966B0" w14:textId="4C9FA800" w:rsidR="00BA02FC" w:rsidRDefault="00264E2B" w:rsidP="00BA02FC">
            <w:pPr>
              <w:widowControl/>
              <w:adjustRightInd w:val="0"/>
              <w:snapToGrid w:val="0"/>
              <w:jc w:val="left"/>
              <w:rPr>
                <w:rFonts w:eastAsiaTheme="majorEastAsia"/>
                <w:kern w:val="0"/>
                <w:sz w:val="18"/>
                <w:szCs w:val="18"/>
              </w:rPr>
            </w:pPr>
            <w:r w:rsidRPr="000D03B4">
              <w:rPr>
                <w:rFonts w:eastAsiaTheme="majorEastAsia"/>
                <w:kern w:val="0"/>
                <w:sz w:val="18"/>
                <w:szCs w:val="18"/>
              </w:rPr>
              <w:t>（</w:t>
            </w:r>
            <w:r w:rsidRPr="000D03B4">
              <w:rPr>
                <w:rFonts w:eastAsiaTheme="majorEastAsia"/>
                <w:kern w:val="0"/>
                <w:sz w:val="18"/>
                <w:szCs w:val="18"/>
              </w:rPr>
              <w:t>4</w:t>
            </w:r>
            <w:r w:rsidRPr="000D03B4">
              <w:rPr>
                <w:rFonts w:eastAsiaTheme="majorEastAsia"/>
                <w:kern w:val="0"/>
                <w:sz w:val="18"/>
                <w:szCs w:val="18"/>
              </w:rPr>
              <w:t>）《司法鉴定程序通则》（司法部令第</w:t>
            </w:r>
            <w:r w:rsidRPr="000D03B4">
              <w:rPr>
                <w:rFonts w:eastAsiaTheme="majorEastAsia"/>
                <w:kern w:val="0"/>
                <w:sz w:val="18"/>
                <w:szCs w:val="18"/>
              </w:rPr>
              <w:t>107</w:t>
            </w:r>
            <w:r w:rsidRPr="000D03B4">
              <w:rPr>
                <w:rFonts w:eastAsiaTheme="majorEastAsia"/>
                <w:kern w:val="0"/>
                <w:sz w:val="18"/>
                <w:szCs w:val="18"/>
              </w:rPr>
              <w:t>号）；</w:t>
            </w:r>
            <w:r w:rsidR="004C1D48" w:rsidRPr="000D03B4">
              <w:rPr>
                <w:rFonts w:eastAsiaTheme="majorEastAsia"/>
                <w:kern w:val="0"/>
                <w:sz w:val="18"/>
                <w:szCs w:val="18"/>
              </w:rPr>
              <w:br/>
            </w:r>
            <w:r w:rsidR="004C1D48" w:rsidRPr="000D03B4">
              <w:rPr>
                <w:kern w:val="0"/>
                <w:sz w:val="18"/>
                <w:szCs w:val="18"/>
              </w:rPr>
              <w:t>（</w:t>
            </w:r>
            <w:r w:rsidRPr="000D03B4">
              <w:rPr>
                <w:kern w:val="0"/>
                <w:sz w:val="18"/>
                <w:szCs w:val="18"/>
              </w:rPr>
              <w:t>5</w:t>
            </w:r>
            <w:r w:rsidR="004C1D48" w:rsidRPr="000D03B4">
              <w:rPr>
                <w:kern w:val="0"/>
                <w:sz w:val="18"/>
                <w:szCs w:val="18"/>
              </w:rPr>
              <w:t>）</w:t>
            </w:r>
            <w:r w:rsidR="004C1D48" w:rsidRPr="000D03B4">
              <w:rPr>
                <w:rFonts w:eastAsiaTheme="majorEastAsia"/>
                <w:kern w:val="0"/>
                <w:sz w:val="18"/>
                <w:szCs w:val="18"/>
              </w:rPr>
              <w:t>《最高人民法院关于人民法院民事执行中拍卖、变卖财产的规定》（法释〔</w:t>
            </w:r>
            <w:r w:rsidR="004C1D48" w:rsidRPr="000D03B4">
              <w:rPr>
                <w:rFonts w:eastAsiaTheme="majorEastAsia"/>
                <w:kern w:val="0"/>
                <w:sz w:val="18"/>
                <w:szCs w:val="18"/>
              </w:rPr>
              <w:t>2004</w:t>
            </w:r>
            <w:r w:rsidR="004C1D48" w:rsidRPr="000D03B4">
              <w:rPr>
                <w:rFonts w:eastAsiaTheme="majorEastAsia"/>
                <w:kern w:val="0"/>
                <w:sz w:val="18"/>
                <w:szCs w:val="18"/>
              </w:rPr>
              <w:t>〕</w:t>
            </w:r>
            <w:r w:rsidR="004C1D48" w:rsidRPr="000D03B4">
              <w:rPr>
                <w:rFonts w:eastAsiaTheme="majorEastAsia"/>
                <w:kern w:val="0"/>
                <w:sz w:val="18"/>
                <w:szCs w:val="18"/>
              </w:rPr>
              <w:t>16</w:t>
            </w:r>
            <w:r w:rsidR="004C1D48" w:rsidRPr="000D03B4">
              <w:rPr>
                <w:rFonts w:eastAsiaTheme="majorEastAsia"/>
                <w:kern w:val="0"/>
                <w:sz w:val="18"/>
                <w:szCs w:val="18"/>
              </w:rPr>
              <w:t>号）；</w:t>
            </w:r>
            <w:r w:rsidR="004C1D48" w:rsidRPr="000D03B4">
              <w:rPr>
                <w:rFonts w:eastAsiaTheme="majorEastAsia"/>
                <w:kern w:val="0"/>
                <w:sz w:val="18"/>
                <w:szCs w:val="18"/>
              </w:rPr>
              <w:br/>
            </w:r>
            <w:r w:rsidR="004C1D48" w:rsidRPr="000D03B4">
              <w:rPr>
                <w:kern w:val="0"/>
                <w:sz w:val="18"/>
                <w:szCs w:val="18"/>
              </w:rPr>
              <w:t>（</w:t>
            </w:r>
            <w:r w:rsidRPr="000D03B4">
              <w:rPr>
                <w:kern w:val="0"/>
                <w:sz w:val="18"/>
                <w:szCs w:val="18"/>
              </w:rPr>
              <w:t>6</w:t>
            </w:r>
            <w:r w:rsidR="004C1D48" w:rsidRPr="000D03B4">
              <w:rPr>
                <w:kern w:val="0"/>
                <w:sz w:val="18"/>
                <w:szCs w:val="18"/>
              </w:rPr>
              <w:t>）</w:t>
            </w:r>
            <w:r w:rsidR="004C1D48" w:rsidRPr="000D03B4">
              <w:rPr>
                <w:rFonts w:eastAsiaTheme="majorEastAsia"/>
                <w:kern w:val="0"/>
                <w:sz w:val="18"/>
                <w:szCs w:val="18"/>
              </w:rPr>
              <w:t>《最高人民法院关于冻结、拍卖上市公司国有股和社会法人股若干问题的规定》（法释〔</w:t>
            </w:r>
            <w:r w:rsidR="004C1D48" w:rsidRPr="000D03B4">
              <w:rPr>
                <w:rFonts w:eastAsiaTheme="majorEastAsia"/>
                <w:kern w:val="0"/>
                <w:sz w:val="18"/>
                <w:szCs w:val="18"/>
              </w:rPr>
              <w:t>2001</w:t>
            </w:r>
            <w:r w:rsidR="004C1D48" w:rsidRPr="000D03B4">
              <w:rPr>
                <w:rFonts w:eastAsiaTheme="majorEastAsia"/>
                <w:kern w:val="0"/>
                <w:sz w:val="18"/>
                <w:szCs w:val="18"/>
              </w:rPr>
              <w:t>〕</w:t>
            </w:r>
            <w:r w:rsidR="004C1D48" w:rsidRPr="000D03B4">
              <w:rPr>
                <w:rFonts w:eastAsiaTheme="majorEastAsia"/>
                <w:kern w:val="0"/>
                <w:sz w:val="18"/>
                <w:szCs w:val="18"/>
              </w:rPr>
              <w:t>28</w:t>
            </w:r>
            <w:r w:rsidR="004C1D48" w:rsidRPr="000D03B4">
              <w:rPr>
                <w:rFonts w:eastAsiaTheme="majorEastAsia"/>
                <w:kern w:val="0"/>
                <w:sz w:val="18"/>
                <w:szCs w:val="18"/>
              </w:rPr>
              <w:t>号）；</w:t>
            </w:r>
            <w:r w:rsidR="004C1D48" w:rsidRPr="000D03B4">
              <w:rPr>
                <w:rFonts w:eastAsiaTheme="majorEastAsia"/>
                <w:kern w:val="0"/>
                <w:sz w:val="18"/>
                <w:szCs w:val="18"/>
              </w:rPr>
              <w:br/>
            </w:r>
            <w:r w:rsidR="004C1D48" w:rsidRPr="000D03B4">
              <w:rPr>
                <w:kern w:val="0"/>
                <w:sz w:val="18"/>
                <w:szCs w:val="18"/>
              </w:rPr>
              <w:t>（</w:t>
            </w:r>
            <w:r w:rsidRPr="000D03B4">
              <w:rPr>
                <w:kern w:val="0"/>
                <w:sz w:val="18"/>
                <w:szCs w:val="18"/>
              </w:rPr>
              <w:t>7</w:t>
            </w:r>
            <w:r w:rsidR="004C1D48" w:rsidRPr="000D03B4">
              <w:rPr>
                <w:kern w:val="0"/>
                <w:sz w:val="18"/>
                <w:szCs w:val="18"/>
              </w:rPr>
              <w:t>）</w:t>
            </w:r>
            <w:r w:rsidR="004C1D48" w:rsidRPr="000D03B4">
              <w:rPr>
                <w:rFonts w:eastAsiaTheme="majorEastAsia"/>
                <w:kern w:val="0"/>
                <w:sz w:val="18"/>
                <w:szCs w:val="18"/>
              </w:rPr>
              <w:t>《最高人民法院关于人民法院委托评估、拍卖工作的若干规定》（法释〔</w:t>
            </w:r>
            <w:r w:rsidR="004C1D48" w:rsidRPr="000D03B4">
              <w:rPr>
                <w:rFonts w:eastAsiaTheme="majorEastAsia"/>
                <w:kern w:val="0"/>
                <w:sz w:val="18"/>
                <w:szCs w:val="18"/>
              </w:rPr>
              <w:t>2011</w:t>
            </w:r>
            <w:r w:rsidR="004C1D48" w:rsidRPr="000D03B4">
              <w:rPr>
                <w:rFonts w:eastAsiaTheme="majorEastAsia"/>
                <w:kern w:val="0"/>
                <w:sz w:val="18"/>
                <w:szCs w:val="18"/>
              </w:rPr>
              <w:t>〕</w:t>
            </w:r>
            <w:r w:rsidR="004C1D48" w:rsidRPr="000D03B4">
              <w:rPr>
                <w:rFonts w:eastAsiaTheme="majorEastAsia"/>
                <w:kern w:val="0"/>
                <w:sz w:val="18"/>
                <w:szCs w:val="18"/>
              </w:rPr>
              <w:t>21</w:t>
            </w:r>
            <w:r w:rsidR="004C1D48" w:rsidRPr="000D03B4">
              <w:rPr>
                <w:rFonts w:eastAsiaTheme="majorEastAsia"/>
                <w:kern w:val="0"/>
                <w:sz w:val="18"/>
                <w:szCs w:val="18"/>
              </w:rPr>
              <w:t>号，于</w:t>
            </w:r>
            <w:r w:rsidR="004C1D48" w:rsidRPr="000D03B4">
              <w:rPr>
                <w:rFonts w:eastAsiaTheme="majorEastAsia"/>
                <w:kern w:val="0"/>
                <w:sz w:val="18"/>
                <w:szCs w:val="18"/>
              </w:rPr>
              <w:t>2010</w:t>
            </w:r>
            <w:r w:rsidR="004C1D48" w:rsidRPr="000D03B4">
              <w:rPr>
                <w:rFonts w:eastAsiaTheme="majorEastAsia"/>
                <w:kern w:val="0"/>
                <w:sz w:val="18"/>
                <w:szCs w:val="18"/>
              </w:rPr>
              <w:t>年</w:t>
            </w:r>
            <w:r w:rsidR="004C1D48" w:rsidRPr="000D03B4">
              <w:rPr>
                <w:rFonts w:eastAsiaTheme="majorEastAsia"/>
                <w:kern w:val="0"/>
                <w:sz w:val="18"/>
                <w:szCs w:val="18"/>
              </w:rPr>
              <w:t>8</w:t>
            </w:r>
            <w:r w:rsidR="004C1D48" w:rsidRPr="000D03B4">
              <w:rPr>
                <w:rFonts w:eastAsiaTheme="majorEastAsia"/>
                <w:kern w:val="0"/>
                <w:sz w:val="18"/>
                <w:szCs w:val="18"/>
              </w:rPr>
              <w:t>月</w:t>
            </w:r>
            <w:r w:rsidR="004C1D48" w:rsidRPr="000D03B4">
              <w:rPr>
                <w:rFonts w:eastAsiaTheme="majorEastAsia"/>
                <w:kern w:val="0"/>
                <w:sz w:val="18"/>
                <w:szCs w:val="18"/>
              </w:rPr>
              <w:t>16</w:t>
            </w:r>
            <w:r w:rsidR="004C1D48" w:rsidRPr="000D03B4">
              <w:rPr>
                <w:rFonts w:eastAsiaTheme="majorEastAsia"/>
                <w:kern w:val="0"/>
                <w:sz w:val="18"/>
                <w:szCs w:val="18"/>
              </w:rPr>
              <w:t>日由最高人民法院审判委员会第</w:t>
            </w:r>
            <w:r w:rsidR="004C1D48" w:rsidRPr="000D03B4">
              <w:rPr>
                <w:rFonts w:eastAsiaTheme="majorEastAsia"/>
                <w:kern w:val="0"/>
                <w:sz w:val="18"/>
                <w:szCs w:val="18"/>
              </w:rPr>
              <w:t>1492</w:t>
            </w:r>
            <w:r w:rsidR="004C1D48" w:rsidRPr="000D03B4">
              <w:rPr>
                <w:rFonts w:eastAsiaTheme="majorEastAsia"/>
                <w:kern w:val="0"/>
                <w:sz w:val="18"/>
                <w:szCs w:val="18"/>
              </w:rPr>
              <w:t>次会议通过，</w:t>
            </w:r>
            <w:r w:rsidR="004C1D48" w:rsidRPr="000D03B4">
              <w:rPr>
                <w:rFonts w:eastAsiaTheme="majorEastAsia"/>
                <w:kern w:val="0"/>
                <w:sz w:val="18"/>
                <w:szCs w:val="18"/>
              </w:rPr>
              <w:t>2011</w:t>
            </w:r>
            <w:r w:rsidR="004C1D48" w:rsidRPr="000D03B4">
              <w:rPr>
                <w:rFonts w:eastAsiaTheme="majorEastAsia"/>
                <w:kern w:val="0"/>
                <w:sz w:val="18"/>
                <w:szCs w:val="18"/>
              </w:rPr>
              <w:t>年</w:t>
            </w:r>
            <w:r w:rsidR="004C1D48" w:rsidRPr="000D03B4">
              <w:rPr>
                <w:rFonts w:eastAsiaTheme="majorEastAsia"/>
                <w:kern w:val="0"/>
                <w:sz w:val="18"/>
                <w:szCs w:val="18"/>
              </w:rPr>
              <w:t>9</w:t>
            </w:r>
            <w:r w:rsidR="004C1D48" w:rsidRPr="000D03B4">
              <w:rPr>
                <w:rFonts w:eastAsiaTheme="majorEastAsia"/>
                <w:kern w:val="0"/>
                <w:sz w:val="18"/>
                <w:szCs w:val="18"/>
              </w:rPr>
              <w:t>月</w:t>
            </w:r>
            <w:r w:rsidR="004C1D48" w:rsidRPr="000D03B4">
              <w:rPr>
                <w:rFonts w:eastAsiaTheme="majorEastAsia"/>
                <w:kern w:val="0"/>
                <w:sz w:val="18"/>
                <w:szCs w:val="18"/>
              </w:rPr>
              <w:t>7</w:t>
            </w:r>
            <w:r w:rsidR="004C1D48" w:rsidRPr="000D03B4">
              <w:rPr>
                <w:rFonts w:eastAsiaTheme="majorEastAsia"/>
                <w:kern w:val="0"/>
                <w:sz w:val="18"/>
                <w:szCs w:val="18"/>
              </w:rPr>
              <w:t>日最高人民法院予以公布）；</w:t>
            </w:r>
            <w:r w:rsidR="004C1D48" w:rsidRPr="000D03B4">
              <w:rPr>
                <w:rFonts w:eastAsiaTheme="majorEastAsia"/>
                <w:kern w:val="0"/>
                <w:sz w:val="18"/>
                <w:szCs w:val="18"/>
              </w:rPr>
              <w:br/>
            </w:r>
            <w:r w:rsidR="00BA02FC" w:rsidRPr="000D03B4">
              <w:rPr>
                <w:kern w:val="0"/>
                <w:sz w:val="18"/>
                <w:szCs w:val="18"/>
              </w:rPr>
              <w:t>（</w:t>
            </w:r>
            <w:r w:rsidR="00BA02FC">
              <w:rPr>
                <w:rFonts w:hint="eastAsia"/>
                <w:kern w:val="0"/>
                <w:sz w:val="18"/>
                <w:szCs w:val="18"/>
              </w:rPr>
              <w:t>8</w:t>
            </w:r>
            <w:r w:rsidR="00BA02FC" w:rsidRPr="000D03B4">
              <w:rPr>
                <w:kern w:val="0"/>
                <w:sz w:val="18"/>
                <w:szCs w:val="18"/>
              </w:rPr>
              <w:t>）</w:t>
            </w:r>
            <w:r w:rsidR="00BA02FC" w:rsidRPr="000D03B4">
              <w:rPr>
                <w:rFonts w:eastAsiaTheme="majorEastAsia"/>
                <w:kern w:val="0"/>
                <w:sz w:val="18"/>
                <w:szCs w:val="18"/>
              </w:rPr>
              <w:t>《最高人民法院关于人民法院确定财产处置参考价若干问题的规定》（法释〔</w:t>
            </w:r>
            <w:r w:rsidR="00BA02FC" w:rsidRPr="000D03B4">
              <w:rPr>
                <w:rFonts w:eastAsiaTheme="majorEastAsia"/>
                <w:kern w:val="0"/>
                <w:sz w:val="18"/>
                <w:szCs w:val="18"/>
              </w:rPr>
              <w:t>2018</w:t>
            </w:r>
            <w:r w:rsidR="00BA02FC" w:rsidRPr="000D03B4">
              <w:rPr>
                <w:rFonts w:eastAsiaTheme="majorEastAsia"/>
                <w:kern w:val="0"/>
                <w:sz w:val="18"/>
                <w:szCs w:val="18"/>
              </w:rPr>
              <w:t>〕</w:t>
            </w:r>
            <w:r w:rsidR="00BA02FC" w:rsidRPr="000D03B4">
              <w:rPr>
                <w:rFonts w:eastAsiaTheme="majorEastAsia"/>
                <w:kern w:val="0"/>
                <w:sz w:val="18"/>
                <w:szCs w:val="18"/>
              </w:rPr>
              <w:t>15</w:t>
            </w:r>
            <w:r w:rsidR="00BA02FC" w:rsidRPr="000D03B4">
              <w:rPr>
                <w:rFonts w:eastAsiaTheme="majorEastAsia"/>
                <w:kern w:val="0"/>
                <w:sz w:val="18"/>
                <w:szCs w:val="18"/>
              </w:rPr>
              <w:t>号）</w:t>
            </w:r>
            <w:r w:rsidR="00BA02FC">
              <w:rPr>
                <w:rFonts w:eastAsiaTheme="majorEastAsia" w:hint="eastAsia"/>
                <w:kern w:val="0"/>
                <w:sz w:val="18"/>
                <w:szCs w:val="18"/>
              </w:rPr>
              <w:t>；</w:t>
            </w:r>
          </w:p>
          <w:p w14:paraId="60664CEA" w14:textId="3765474C" w:rsidR="004C1D48" w:rsidRPr="000D03B4" w:rsidRDefault="00186D6B" w:rsidP="00BA02FC">
            <w:pPr>
              <w:widowControl/>
              <w:adjustRightInd w:val="0"/>
              <w:snapToGrid w:val="0"/>
              <w:jc w:val="left"/>
              <w:rPr>
                <w:rFonts w:eastAsiaTheme="majorEastAsia"/>
                <w:kern w:val="0"/>
                <w:sz w:val="18"/>
                <w:szCs w:val="18"/>
              </w:rPr>
            </w:pPr>
            <w:r w:rsidRPr="000D03B4">
              <w:rPr>
                <w:rFonts w:eastAsiaTheme="majorEastAsia"/>
                <w:kern w:val="0"/>
                <w:sz w:val="18"/>
                <w:szCs w:val="18"/>
              </w:rPr>
              <w:t>（</w:t>
            </w:r>
            <w:r w:rsidR="00BA02FC">
              <w:rPr>
                <w:rFonts w:eastAsiaTheme="majorEastAsia" w:hint="eastAsia"/>
                <w:kern w:val="0"/>
                <w:sz w:val="18"/>
                <w:szCs w:val="18"/>
              </w:rPr>
              <w:t>9</w:t>
            </w:r>
            <w:r w:rsidRPr="000D03B4">
              <w:rPr>
                <w:rFonts w:eastAsiaTheme="majorEastAsia"/>
                <w:kern w:val="0"/>
                <w:sz w:val="18"/>
                <w:szCs w:val="18"/>
              </w:rPr>
              <w:t>）</w:t>
            </w:r>
            <w:r w:rsidR="004C1D48" w:rsidRPr="000D03B4">
              <w:rPr>
                <w:rFonts w:eastAsiaTheme="majorEastAsia"/>
                <w:kern w:val="0"/>
                <w:sz w:val="18"/>
                <w:szCs w:val="18"/>
              </w:rPr>
              <w:t>《人民法院委托评估工作规范》（法办〔</w:t>
            </w:r>
            <w:r w:rsidR="004C1D48" w:rsidRPr="000D03B4">
              <w:rPr>
                <w:rFonts w:eastAsiaTheme="majorEastAsia"/>
                <w:kern w:val="0"/>
                <w:sz w:val="18"/>
                <w:szCs w:val="18"/>
              </w:rPr>
              <w:t>2018</w:t>
            </w:r>
            <w:r w:rsidR="004C1D48" w:rsidRPr="000D03B4">
              <w:rPr>
                <w:rFonts w:eastAsiaTheme="majorEastAsia"/>
                <w:kern w:val="0"/>
                <w:sz w:val="18"/>
                <w:szCs w:val="18"/>
              </w:rPr>
              <w:t>〕</w:t>
            </w:r>
            <w:r w:rsidR="004C1D48" w:rsidRPr="000D03B4">
              <w:rPr>
                <w:rFonts w:eastAsiaTheme="majorEastAsia"/>
                <w:kern w:val="0"/>
                <w:sz w:val="18"/>
                <w:szCs w:val="18"/>
              </w:rPr>
              <w:t>273</w:t>
            </w:r>
            <w:r w:rsidR="004C1D48" w:rsidRPr="000D03B4">
              <w:rPr>
                <w:rFonts w:eastAsiaTheme="majorEastAsia"/>
                <w:kern w:val="0"/>
                <w:sz w:val="18"/>
                <w:szCs w:val="18"/>
              </w:rPr>
              <w:t>号）</w:t>
            </w:r>
            <w:r w:rsidR="00BA02FC">
              <w:rPr>
                <w:rFonts w:eastAsiaTheme="majorEastAsia" w:hint="eastAsia"/>
                <w:kern w:val="0"/>
                <w:sz w:val="18"/>
                <w:szCs w:val="18"/>
              </w:rPr>
              <w:t>等。</w:t>
            </w:r>
          </w:p>
        </w:tc>
      </w:tr>
      <w:tr w:rsidR="00DE61FF" w:rsidRPr="000D03B4" w14:paraId="14E7EBB1" w14:textId="77777777" w:rsidTr="00DE61FF">
        <w:trPr>
          <w:gridAfter w:val="1"/>
          <w:wAfter w:w="16" w:type="pct"/>
          <w:trHeight w:val="541"/>
        </w:trPr>
        <w:tc>
          <w:tcPr>
            <w:tcW w:w="242" w:type="pct"/>
            <w:shd w:val="clear" w:color="auto" w:fill="auto"/>
            <w:noWrap/>
            <w:vAlign w:val="center"/>
            <w:hideMark/>
          </w:tcPr>
          <w:p w14:paraId="0337BF14" w14:textId="0D3D913A" w:rsidR="004C1D48" w:rsidRPr="000D03B4" w:rsidRDefault="00D95167"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7</w:t>
            </w:r>
            <w:r w:rsidR="005B0529" w:rsidRPr="000D03B4">
              <w:rPr>
                <w:rFonts w:eastAsiaTheme="majorEastAsia"/>
                <w:kern w:val="0"/>
                <w:sz w:val="18"/>
                <w:szCs w:val="18"/>
              </w:rPr>
              <w:t>6</w:t>
            </w:r>
          </w:p>
        </w:tc>
        <w:tc>
          <w:tcPr>
            <w:tcW w:w="204" w:type="pct"/>
            <w:vMerge/>
            <w:shd w:val="clear" w:color="auto" w:fill="auto"/>
            <w:vAlign w:val="center"/>
            <w:hideMark/>
          </w:tcPr>
          <w:p w14:paraId="710E8E5B"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56782159"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9A43E41" w14:textId="395B53E7"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.15</w:t>
            </w:r>
          </w:p>
        </w:tc>
        <w:tc>
          <w:tcPr>
            <w:tcW w:w="1258" w:type="pct"/>
            <w:shd w:val="clear" w:color="auto" w:fill="auto"/>
            <w:noWrap/>
            <w:vAlign w:val="center"/>
            <w:hideMark/>
          </w:tcPr>
          <w:p w14:paraId="0CF5252C" w14:textId="77777777"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资产变价</w:t>
            </w:r>
          </w:p>
        </w:tc>
        <w:tc>
          <w:tcPr>
            <w:tcW w:w="2478" w:type="pct"/>
            <w:vMerge/>
            <w:shd w:val="clear" w:color="auto" w:fill="auto"/>
            <w:vAlign w:val="center"/>
            <w:hideMark/>
          </w:tcPr>
          <w:p w14:paraId="339FCF7E" w14:textId="77777777" w:rsidR="004C1D48" w:rsidRPr="000D03B4" w:rsidRDefault="004C1D48" w:rsidP="00264E2B">
            <w:pPr>
              <w:widowControl/>
              <w:adjustRightInd w:val="0"/>
              <w:snapToGrid w:val="0"/>
              <w:jc w:val="left"/>
              <w:rPr>
                <w:rFonts w:eastAsiaTheme="majorEastAsia"/>
                <w:kern w:val="0"/>
                <w:sz w:val="18"/>
                <w:szCs w:val="18"/>
              </w:rPr>
            </w:pPr>
          </w:p>
        </w:tc>
      </w:tr>
      <w:tr w:rsidR="00DE61FF" w:rsidRPr="000D03B4" w14:paraId="06AA4B20" w14:textId="77777777" w:rsidTr="00DE61FF">
        <w:trPr>
          <w:gridAfter w:val="1"/>
          <w:wAfter w:w="16" w:type="pct"/>
          <w:trHeight w:val="1419"/>
        </w:trPr>
        <w:tc>
          <w:tcPr>
            <w:tcW w:w="242" w:type="pct"/>
            <w:shd w:val="clear" w:color="auto" w:fill="auto"/>
            <w:noWrap/>
            <w:vAlign w:val="center"/>
            <w:hideMark/>
          </w:tcPr>
          <w:p w14:paraId="2049B3C1" w14:textId="2600A698" w:rsidR="004C1D48" w:rsidRPr="000D03B4" w:rsidRDefault="00D95167"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7</w:t>
            </w:r>
            <w:r w:rsidR="005B0529" w:rsidRPr="000D03B4">
              <w:rPr>
                <w:rFonts w:eastAsiaTheme="majorEastAsia"/>
                <w:kern w:val="0"/>
                <w:sz w:val="18"/>
                <w:szCs w:val="18"/>
              </w:rPr>
              <w:t>7</w:t>
            </w:r>
          </w:p>
        </w:tc>
        <w:tc>
          <w:tcPr>
            <w:tcW w:w="204" w:type="pct"/>
            <w:vMerge/>
            <w:shd w:val="clear" w:color="auto" w:fill="auto"/>
            <w:vAlign w:val="center"/>
            <w:hideMark/>
          </w:tcPr>
          <w:p w14:paraId="77E654C1"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5A4E787B"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F70F701" w14:textId="698324D8"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.16</w:t>
            </w:r>
          </w:p>
        </w:tc>
        <w:tc>
          <w:tcPr>
            <w:tcW w:w="1258" w:type="pct"/>
            <w:shd w:val="clear" w:color="auto" w:fill="auto"/>
            <w:noWrap/>
            <w:vAlign w:val="center"/>
            <w:hideMark/>
          </w:tcPr>
          <w:p w14:paraId="7BC09F8D" w14:textId="77777777"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刑事案件定罪量刑中相关损失估算</w:t>
            </w:r>
          </w:p>
        </w:tc>
        <w:tc>
          <w:tcPr>
            <w:tcW w:w="2478" w:type="pct"/>
            <w:vMerge/>
            <w:shd w:val="clear" w:color="auto" w:fill="auto"/>
            <w:vAlign w:val="center"/>
            <w:hideMark/>
          </w:tcPr>
          <w:p w14:paraId="27B5DB49" w14:textId="77777777" w:rsidR="004C1D48" w:rsidRPr="000D03B4" w:rsidRDefault="004C1D48" w:rsidP="00264E2B">
            <w:pPr>
              <w:widowControl/>
              <w:adjustRightInd w:val="0"/>
              <w:snapToGrid w:val="0"/>
              <w:jc w:val="left"/>
              <w:rPr>
                <w:rFonts w:eastAsiaTheme="majorEastAsia"/>
                <w:kern w:val="0"/>
                <w:sz w:val="18"/>
                <w:szCs w:val="18"/>
              </w:rPr>
            </w:pPr>
          </w:p>
        </w:tc>
      </w:tr>
      <w:tr w:rsidR="00DE61FF" w:rsidRPr="000D03B4" w14:paraId="51C250AE" w14:textId="77777777" w:rsidTr="00DE61FF">
        <w:trPr>
          <w:gridAfter w:val="1"/>
          <w:wAfter w:w="16" w:type="pct"/>
          <w:trHeight w:val="1252"/>
        </w:trPr>
        <w:tc>
          <w:tcPr>
            <w:tcW w:w="242" w:type="pct"/>
            <w:shd w:val="clear" w:color="auto" w:fill="auto"/>
            <w:noWrap/>
            <w:vAlign w:val="center"/>
          </w:tcPr>
          <w:p w14:paraId="0703D55E" w14:textId="6B084EDA"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w:t>
            </w:r>
            <w:r w:rsidR="00D95167" w:rsidRPr="000D03B4">
              <w:rPr>
                <w:rFonts w:eastAsiaTheme="majorEastAsia"/>
                <w:kern w:val="0"/>
                <w:sz w:val="18"/>
                <w:szCs w:val="18"/>
              </w:rPr>
              <w:t>7</w:t>
            </w:r>
            <w:r w:rsidR="005B0529" w:rsidRPr="000D03B4">
              <w:rPr>
                <w:rFonts w:eastAsiaTheme="majorEastAsia"/>
                <w:kern w:val="0"/>
                <w:sz w:val="18"/>
                <w:szCs w:val="18"/>
              </w:rPr>
              <w:t>8</w:t>
            </w:r>
          </w:p>
        </w:tc>
        <w:tc>
          <w:tcPr>
            <w:tcW w:w="204" w:type="pct"/>
            <w:vMerge/>
            <w:shd w:val="clear" w:color="auto" w:fill="auto"/>
            <w:vAlign w:val="center"/>
          </w:tcPr>
          <w:p w14:paraId="391D3231"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tcPr>
          <w:p w14:paraId="301B60BC"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tcPr>
          <w:p w14:paraId="255AEB75" w14:textId="39BF9D93"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.17</w:t>
            </w:r>
          </w:p>
        </w:tc>
        <w:tc>
          <w:tcPr>
            <w:tcW w:w="1258" w:type="pct"/>
            <w:shd w:val="clear" w:color="auto" w:fill="auto"/>
            <w:noWrap/>
            <w:vAlign w:val="center"/>
          </w:tcPr>
          <w:p w14:paraId="2C07B535" w14:textId="0588C596"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人民法院委托司法执行财产处置资产评估</w:t>
            </w:r>
          </w:p>
        </w:tc>
        <w:tc>
          <w:tcPr>
            <w:tcW w:w="2478" w:type="pct"/>
            <w:vMerge/>
            <w:shd w:val="clear" w:color="auto" w:fill="auto"/>
            <w:vAlign w:val="center"/>
          </w:tcPr>
          <w:p w14:paraId="3EBF7397" w14:textId="77777777" w:rsidR="004C1D48" w:rsidRPr="000D03B4" w:rsidRDefault="004C1D48" w:rsidP="00264E2B">
            <w:pPr>
              <w:widowControl/>
              <w:adjustRightInd w:val="0"/>
              <w:snapToGrid w:val="0"/>
              <w:jc w:val="left"/>
              <w:rPr>
                <w:kern w:val="0"/>
                <w:sz w:val="18"/>
                <w:szCs w:val="18"/>
              </w:rPr>
            </w:pPr>
          </w:p>
        </w:tc>
      </w:tr>
      <w:tr w:rsidR="00DE61FF" w:rsidRPr="000D03B4" w14:paraId="7A9EE990" w14:textId="77777777" w:rsidTr="00DE61FF">
        <w:trPr>
          <w:gridAfter w:val="1"/>
          <w:wAfter w:w="16" w:type="pct"/>
          <w:trHeight w:val="533"/>
        </w:trPr>
        <w:tc>
          <w:tcPr>
            <w:tcW w:w="242" w:type="pct"/>
            <w:shd w:val="clear" w:color="auto" w:fill="auto"/>
            <w:noWrap/>
            <w:vAlign w:val="center"/>
            <w:hideMark/>
          </w:tcPr>
          <w:p w14:paraId="4E10C8AA" w14:textId="1EA3B4FE" w:rsidR="004C1D48" w:rsidRPr="000D03B4" w:rsidRDefault="00D95167"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7</w:t>
            </w:r>
            <w:r w:rsidR="005B0529" w:rsidRPr="000D03B4">
              <w:rPr>
                <w:rFonts w:eastAsiaTheme="majorEastAsia"/>
                <w:kern w:val="0"/>
                <w:sz w:val="18"/>
                <w:szCs w:val="18"/>
              </w:rPr>
              <w:t>9</w:t>
            </w:r>
          </w:p>
        </w:tc>
        <w:tc>
          <w:tcPr>
            <w:tcW w:w="204" w:type="pct"/>
            <w:vMerge/>
            <w:shd w:val="clear" w:color="auto" w:fill="auto"/>
            <w:vAlign w:val="center"/>
            <w:hideMark/>
          </w:tcPr>
          <w:p w14:paraId="118153E0" w14:textId="77777777" w:rsidR="004C1D48" w:rsidRPr="000D03B4" w:rsidRDefault="004C1D48"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97B6EB3" w14:textId="77777777" w:rsidR="004C1D48" w:rsidRPr="000D03B4" w:rsidRDefault="004C1D48"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7F5296F3" w14:textId="14246DFA"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.18</w:t>
            </w:r>
          </w:p>
        </w:tc>
        <w:tc>
          <w:tcPr>
            <w:tcW w:w="1258" w:type="pct"/>
            <w:shd w:val="clear" w:color="auto" w:fill="auto"/>
            <w:noWrap/>
            <w:vAlign w:val="center"/>
            <w:hideMark/>
          </w:tcPr>
          <w:p w14:paraId="1E75E4E3" w14:textId="77777777" w:rsidR="004C1D48" w:rsidRPr="000D03B4" w:rsidRDefault="004C1D48" w:rsidP="00A745DB">
            <w:pPr>
              <w:widowControl/>
              <w:adjustRightInd w:val="0"/>
              <w:snapToGrid w:val="0"/>
              <w:rPr>
                <w:rFonts w:eastAsiaTheme="majorEastAsia"/>
                <w:kern w:val="0"/>
                <w:sz w:val="18"/>
                <w:szCs w:val="18"/>
              </w:rPr>
            </w:pPr>
            <w:r w:rsidRPr="000D03B4">
              <w:rPr>
                <w:rFonts w:eastAsiaTheme="majorEastAsia"/>
                <w:kern w:val="0"/>
                <w:sz w:val="18"/>
                <w:szCs w:val="18"/>
              </w:rPr>
              <w:t>国家中小企业发展基金价值评估</w:t>
            </w:r>
          </w:p>
        </w:tc>
        <w:tc>
          <w:tcPr>
            <w:tcW w:w="2478" w:type="pct"/>
            <w:shd w:val="clear" w:color="auto" w:fill="auto"/>
            <w:vAlign w:val="center"/>
            <w:hideMark/>
          </w:tcPr>
          <w:p w14:paraId="2BDA8EA4" w14:textId="6FF18045" w:rsidR="004C1D48" w:rsidRPr="000D03B4" w:rsidRDefault="004C1D48"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《国务院关于进一步支持小型微型企业健康发展的意见》（国发〔</w:t>
            </w:r>
            <w:r w:rsidRPr="000D03B4">
              <w:rPr>
                <w:rFonts w:eastAsiaTheme="majorEastAsia"/>
                <w:kern w:val="0"/>
                <w:sz w:val="18"/>
                <w:szCs w:val="18"/>
              </w:rPr>
              <w:t>2012</w:t>
            </w:r>
            <w:r w:rsidRPr="000D03B4">
              <w:rPr>
                <w:rFonts w:eastAsiaTheme="majorEastAsia"/>
                <w:kern w:val="0"/>
                <w:sz w:val="18"/>
                <w:szCs w:val="18"/>
              </w:rPr>
              <w:t>〕</w:t>
            </w:r>
            <w:r w:rsidRPr="000D03B4">
              <w:rPr>
                <w:rFonts w:eastAsiaTheme="majorEastAsia"/>
                <w:kern w:val="0"/>
                <w:sz w:val="18"/>
                <w:szCs w:val="18"/>
              </w:rPr>
              <w:t>14</w:t>
            </w:r>
            <w:r w:rsidRPr="000D03B4">
              <w:rPr>
                <w:rFonts w:eastAsiaTheme="majorEastAsia"/>
                <w:kern w:val="0"/>
                <w:sz w:val="18"/>
                <w:szCs w:val="18"/>
              </w:rPr>
              <w:t>号）</w:t>
            </w:r>
          </w:p>
        </w:tc>
      </w:tr>
      <w:tr w:rsidR="005B0529" w:rsidRPr="000D03B4" w14:paraId="6DA4C2BE" w14:textId="77777777" w:rsidTr="00DE61FF">
        <w:trPr>
          <w:gridAfter w:val="1"/>
          <w:wAfter w:w="16" w:type="pct"/>
          <w:trHeight w:val="576"/>
        </w:trPr>
        <w:tc>
          <w:tcPr>
            <w:tcW w:w="242" w:type="pct"/>
            <w:shd w:val="clear" w:color="auto" w:fill="auto"/>
            <w:noWrap/>
            <w:vAlign w:val="center"/>
            <w:hideMark/>
          </w:tcPr>
          <w:p w14:paraId="71C94A30" w14:textId="40BA21F0" w:rsidR="005B0529" w:rsidRPr="000D03B4" w:rsidRDefault="005B0529"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N80</w:t>
            </w:r>
          </w:p>
        </w:tc>
        <w:tc>
          <w:tcPr>
            <w:tcW w:w="204" w:type="pct"/>
            <w:vMerge/>
            <w:shd w:val="clear" w:color="auto" w:fill="auto"/>
            <w:noWrap/>
            <w:vAlign w:val="center"/>
            <w:hideMark/>
          </w:tcPr>
          <w:p w14:paraId="52300BFF" w14:textId="489C3895" w:rsidR="005B0529" w:rsidRPr="000D03B4" w:rsidRDefault="005B0529" w:rsidP="00F05644">
            <w:pPr>
              <w:widowControl/>
              <w:adjustRightInd w:val="0"/>
              <w:snapToGrid w:val="0"/>
              <w:jc w:val="center"/>
              <w:rPr>
                <w:rFonts w:eastAsiaTheme="majorEastAsia"/>
                <w:kern w:val="0"/>
                <w:sz w:val="18"/>
                <w:szCs w:val="18"/>
              </w:rPr>
            </w:pPr>
          </w:p>
        </w:tc>
        <w:tc>
          <w:tcPr>
            <w:tcW w:w="449" w:type="pct"/>
            <w:vMerge/>
            <w:shd w:val="clear" w:color="auto" w:fill="auto"/>
            <w:noWrap/>
            <w:vAlign w:val="center"/>
            <w:hideMark/>
          </w:tcPr>
          <w:p w14:paraId="18491985" w14:textId="3EFAD6D5" w:rsidR="005B0529" w:rsidRPr="000D03B4" w:rsidRDefault="005B0529" w:rsidP="00F05644">
            <w:pPr>
              <w:widowControl/>
              <w:adjustRightInd w:val="0"/>
              <w:snapToGrid w:val="0"/>
              <w:jc w:val="center"/>
              <w:rPr>
                <w:rFonts w:eastAsiaTheme="majorEastAsia"/>
                <w:kern w:val="0"/>
                <w:sz w:val="18"/>
                <w:szCs w:val="18"/>
              </w:rPr>
            </w:pPr>
          </w:p>
        </w:tc>
        <w:tc>
          <w:tcPr>
            <w:tcW w:w="353" w:type="pct"/>
            <w:shd w:val="clear" w:color="auto" w:fill="auto"/>
            <w:noWrap/>
            <w:vAlign w:val="center"/>
          </w:tcPr>
          <w:p w14:paraId="4764BBAA" w14:textId="772A0612" w:rsidR="005B0529" w:rsidRPr="000D03B4" w:rsidRDefault="005B0529" w:rsidP="00433325">
            <w:pPr>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.19</w:t>
            </w:r>
          </w:p>
        </w:tc>
        <w:tc>
          <w:tcPr>
            <w:tcW w:w="1258" w:type="pct"/>
            <w:shd w:val="clear" w:color="auto" w:fill="auto"/>
            <w:noWrap/>
            <w:vAlign w:val="center"/>
            <w:hideMark/>
          </w:tcPr>
          <w:p w14:paraId="7E803302" w14:textId="77777777" w:rsidR="005B0529" w:rsidRPr="000D03B4" w:rsidRDefault="005B0529" w:rsidP="00F05644">
            <w:pPr>
              <w:adjustRightInd w:val="0"/>
              <w:snapToGrid w:val="0"/>
              <w:rPr>
                <w:rFonts w:eastAsiaTheme="majorEastAsia"/>
                <w:kern w:val="0"/>
                <w:sz w:val="18"/>
                <w:szCs w:val="18"/>
              </w:rPr>
            </w:pPr>
            <w:r w:rsidRPr="000D03B4">
              <w:rPr>
                <w:rFonts w:eastAsiaTheme="majorEastAsia"/>
                <w:kern w:val="0"/>
                <w:sz w:val="18"/>
                <w:szCs w:val="18"/>
              </w:rPr>
              <w:t>行业协会商会与行政机关脱钩有关国有资产管理</w:t>
            </w:r>
          </w:p>
        </w:tc>
        <w:tc>
          <w:tcPr>
            <w:tcW w:w="2478" w:type="pct"/>
            <w:shd w:val="clear" w:color="auto" w:fill="auto"/>
            <w:vAlign w:val="center"/>
            <w:hideMark/>
          </w:tcPr>
          <w:p w14:paraId="1731D428" w14:textId="77777777" w:rsidR="005B0529" w:rsidRPr="000D03B4" w:rsidRDefault="005B0529" w:rsidP="00264E2B">
            <w:pPr>
              <w:adjustRightInd w:val="0"/>
              <w:snapToGrid w:val="0"/>
              <w:jc w:val="left"/>
              <w:rPr>
                <w:rFonts w:eastAsiaTheme="majorEastAsia"/>
                <w:kern w:val="0"/>
                <w:sz w:val="18"/>
                <w:szCs w:val="18"/>
              </w:rPr>
            </w:pPr>
            <w:r w:rsidRPr="000D03B4">
              <w:rPr>
                <w:rFonts w:eastAsiaTheme="majorEastAsia"/>
                <w:kern w:val="0"/>
                <w:sz w:val="18"/>
                <w:szCs w:val="18"/>
              </w:rPr>
              <w:t>《关于加强行业协会商会与行政机关脱钩有关国有资产管理的意见（试行）》（财资〔</w:t>
            </w:r>
            <w:r w:rsidRPr="000D03B4">
              <w:rPr>
                <w:rFonts w:eastAsiaTheme="majorEastAsia"/>
                <w:kern w:val="0"/>
                <w:sz w:val="18"/>
                <w:szCs w:val="18"/>
              </w:rPr>
              <w:t>2015</w:t>
            </w:r>
            <w:r w:rsidRPr="000D03B4">
              <w:rPr>
                <w:rFonts w:eastAsiaTheme="majorEastAsia"/>
                <w:kern w:val="0"/>
                <w:sz w:val="18"/>
                <w:szCs w:val="18"/>
              </w:rPr>
              <w:t>〕</w:t>
            </w:r>
            <w:r w:rsidRPr="000D03B4">
              <w:rPr>
                <w:rFonts w:eastAsiaTheme="majorEastAsia"/>
                <w:kern w:val="0"/>
                <w:sz w:val="18"/>
                <w:szCs w:val="18"/>
              </w:rPr>
              <w:t>44</w:t>
            </w:r>
            <w:r w:rsidRPr="000D03B4">
              <w:rPr>
                <w:rFonts w:eastAsiaTheme="majorEastAsia"/>
                <w:kern w:val="0"/>
                <w:sz w:val="18"/>
                <w:szCs w:val="18"/>
              </w:rPr>
              <w:t>号）</w:t>
            </w:r>
          </w:p>
        </w:tc>
      </w:tr>
      <w:tr w:rsidR="00DE61FF" w:rsidRPr="000D03B4" w14:paraId="3D58B185" w14:textId="77777777" w:rsidTr="00DE61FF">
        <w:trPr>
          <w:gridAfter w:val="1"/>
          <w:wAfter w:w="16" w:type="pct"/>
          <w:trHeight w:val="283"/>
        </w:trPr>
        <w:tc>
          <w:tcPr>
            <w:tcW w:w="242" w:type="pct"/>
            <w:shd w:val="clear" w:color="auto" w:fill="auto"/>
            <w:noWrap/>
            <w:vAlign w:val="center"/>
            <w:hideMark/>
          </w:tcPr>
          <w:p w14:paraId="11E1D585" w14:textId="158D3D03"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w:t>
            </w:r>
            <w:r w:rsidR="00D95167" w:rsidRPr="000D03B4">
              <w:rPr>
                <w:rFonts w:eastAsiaTheme="majorEastAsia"/>
                <w:kern w:val="0"/>
                <w:sz w:val="18"/>
                <w:szCs w:val="18"/>
              </w:rPr>
              <w:t>8</w:t>
            </w:r>
            <w:r w:rsidR="005B0529" w:rsidRPr="000D03B4">
              <w:rPr>
                <w:rFonts w:eastAsiaTheme="majorEastAsia"/>
                <w:kern w:val="0"/>
                <w:sz w:val="18"/>
                <w:szCs w:val="18"/>
              </w:rPr>
              <w:t>1</w:t>
            </w:r>
          </w:p>
        </w:tc>
        <w:tc>
          <w:tcPr>
            <w:tcW w:w="204" w:type="pct"/>
            <w:vMerge/>
            <w:shd w:val="clear" w:color="auto" w:fill="auto"/>
            <w:vAlign w:val="center"/>
            <w:hideMark/>
          </w:tcPr>
          <w:p w14:paraId="1FC903D8" w14:textId="77777777" w:rsidR="004C1D48" w:rsidRPr="000D03B4" w:rsidRDefault="004C1D48" w:rsidP="00F05644">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DA5359B" w14:textId="77777777" w:rsidR="004C1D48" w:rsidRPr="000D03B4" w:rsidRDefault="004C1D48" w:rsidP="00F05644">
            <w:pPr>
              <w:widowControl/>
              <w:adjustRightInd w:val="0"/>
              <w:snapToGrid w:val="0"/>
              <w:jc w:val="center"/>
              <w:rPr>
                <w:rFonts w:eastAsiaTheme="majorEastAsia"/>
                <w:kern w:val="0"/>
                <w:sz w:val="18"/>
                <w:szCs w:val="18"/>
              </w:rPr>
            </w:pPr>
          </w:p>
        </w:tc>
        <w:tc>
          <w:tcPr>
            <w:tcW w:w="353" w:type="pct"/>
            <w:shd w:val="clear" w:color="auto" w:fill="auto"/>
            <w:noWrap/>
            <w:vAlign w:val="center"/>
          </w:tcPr>
          <w:p w14:paraId="460667BB" w14:textId="53BE75E4"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.20</w:t>
            </w:r>
          </w:p>
        </w:tc>
        <w:tc>
          <w:tcPr>
            <w:tcW w:w="1258" w:type="pct"/>
            <w:shd w:val="clear" w:color="auto" w:fill="auto"/>
            <w:noWrap/>
            <w:vAlign w:val="center"/>
            <w:hideMark/>
          </w:tcPr>
          <w:p w14:paraId="7EC6447A" w14:textId="77777777" w:rsidR="004C1D48" w:rsidRPr="000D03B4" w:rsidRDefault="004C1D48" w:rsidP="00F05644">
            <w:pPr>
              <w:widowControl/>
              <w:adjustRightInd w:val="0"/>
              <w:snapToGrid w:val="0"/>
              <w:rPr>
                <w:rFonts w:eastAsiaTheme="majorEastAsia"/>
                <w:kern w:val="0"/>
                <w:sz w:val="18"/>
                <w:szCs w:val="18"/>
              </w:rPr>
            </w:pPr>
            <w:r w:rsidRPr="000D03B4">
              <w:rPr>
                <w:rFonts w:eastAsiaTheme="majorEastAsia"/>
                <w:kern w:val="0"/>
                <w:sz w:val="18"/>
                <w:szCs w:val="18"/>
              </w:rPr>
              <w:t>中国足协大额资产出售与置换</w:t>
            </w:r>
          </w:p>
        </w:tc>
        <w:tc>
          <w:tcPr>
            <w:tcW w:w="2478" w:type="pct"/>
            <w:vMerge w:val="restart"/>
            <w:shd w:val="clear" w:color="auto" w:fill="auto"/>
            <w:vAlign w:val="center"/>
            <w:hideMark/>
          </w:tcPr>
          <w:p w14:paraId="173DEA78" w14:textId="77777777" w:rsidR="004C1D48" w:rsidRPr="000D03B4" w:rsidRDefault="004C1D48" w:rsidP="00264E2B">
            <w:pPr>
              <w:widowControl/>
              <w:adjustRightInd w:val="0"/>
              <w:snapToGrid w:val="0"/>
              <w:jc w:val="left"/>
              <w:rPr>
                <w:rFonts w:eastAsiaTheme="majorEastAsia"/>
                <w:kern w:val="0"/>
                <w:sz w:val="18"/>
                <w:szCs w:val="18"/>
              </w:rPr>
            </w:pPr>
            <w:r w:rsidRPr="000D03B4">
              <w:rPr>
                <w:rFonts w:eastAsiaTheme="majorEastAsia"/>
                <w:kern w:val="0"/>
                <w:sz w:val="18"/>
                <w:szCs w:val="18"/>
              </w:rPr>
              <w:t>《中国足球协会资产管理暂行办法》（财资〔</w:t>
            </w:r>
            <w:r w:rsidRPr="000D03B4">
              <w:rPr>
                <w:rFonts w:eastAsiaTheme="majorEastAsia"/>
                <w:kern w:val="0"/>
                <w:sz w:val="18"/>
                <w:szCs w:val="18"/>
              </w:rPr>
              <w:t>2017</w:t>
            </w:r>
            <w:r w:rsidRPr="000D03B4">
              <w:rPr>
                <w:rFonts w:eastAsiaTheme="majorEastAsia"/>
                <w:kern w:val="0"/>
                <w:sz w:val="18"/>
                <w:szCs w:val="18"/>
              </w:rPr>
              <w:t>〕</w:t>
            </w:r>
            <w:r w:rsidRPr="000D03B4">
              <w:rPr>
                <w:rFonts w:eastAsiaTheme="majorEastAsia"/>
                <w:kern w:val="0"/>
                <w:sz w:val="18"/>
                <w:szCs w:val="18"/>
              </w:rPr>
              <w:t>32</w:t>
            </w:r>
            <w:r w:rsidRPr="000D03B4">
              <w:rPr>
                <w:rFonts w:eastAsiaTheme="majorEastAsia"/>
                <w:kern w:val="0"/>
                <w:sz w:val="18"/>
                <w:szCs w:val="18"/>
              </w:rPr>
              <w:t>号）</w:t>
            </w:r>
          </w:p>
        </w:tc>
      </w:tr>
      <w:tr w:rsidR="00DE61FF" w:rsidRPr="000D03B4" w14:paraId="6E394F6B" w14:textId="77777777" w:rsidTr="00DE61FF">
        <w:trPr>
          <w:gridAfter w:val="1"/>
          <w:wAfter w:w="16" w:type="pct"/>
          <w:trHeight w:val="283"/>
        </w:trPr>
        <w:tc>
          <w:tcPr>
            <w:tcW w:w="242" w:type="pct"/>
            <w:shd w:val="clear" w:color="auto" w:fill="auto"/>
            <w:noWrap/>
            <w:vAlign w:val="center"/>
            <w:hideMark/>
          </w:tcPr>
          <w:p w14:paraId="0E9F1070" w14:textId="192A6BF4"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w:t>
            </w:r>
            <w:r w:rsidR="00D95167" w:rsidRPr="000D03B4">
              <w:rPr>
                <w:rFonts w:eastAsiaTheme="majorEastAsia"/>
                <w:kern w:val="0"/>
                <w:sz w:val="18"/>
                <w:szCs w:val="18"/>
              </w:rPr>
              <w:t>8</w:t>
            </w:r>
            <w:r w:rsidR="005B0529" w:rsidRPr="000D03B4">
              <w:rPr>
                <w:rFonts w:eastAsiaTheme="majorEastAsia"/>
                <w:kern w:val="0"/>
                <w:sz w:val="18"/>
                <w:szCs w:val="18"/>
              </w:rPr>
              <w:t>2</w:t>
            </w:r>
          </w:p>
        </w:tc>
        <w:tc>
          <w:tcPr>
            <w:tcW w:w="204" w:type="pct"/>
            <w:vMerge/>
            <w:shd w:val="clear" w:color="auto" w:fill="auto"/>
            <w:vAlign w:val="center"/>
            <w:hideMark/>
          </w:tcPr>
          <w:p w14:paraId="0746595B" w14:textId="77777777" w:rsidR="004C1D48" w:rsidRPr="000D03B4" w:rsidRDefault="004C1D48" w:rsidP="00F05644">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0DEA22B" w14:textId="77777777" w:rsidR="004C1D48" w:rsidRPr="000D03B4" w:rsidRDefault="004C1D48" w:rsidP="00F05644">
            <w:pPr>
              <w:widowControl/>
              <w:adjustRightInd w:val="0"/>
              <w:snapToGrid w:val="0"/>
              <w:jc w:val="center"/>
              <w:rPr>
                <w:rFonts w:eastAsiaTheme="majorEastAsia"/>
                <w:kern w:val="0"/>
                <w:sz w:val="18"/>
                <w:szCs w:val="18"/>
              </w:rPr>
            </w:pPr>
          </w:p>
        </w:tc>
        <w:tc>
          <w:tcPr>
            <w:tcW w:w="353" w:type="pct"/>
            <w:shd w:val="clear" w:color="auto" w:fill="auto"/>
            <w:noWrap/>
            <w:vAlign w:val="center"/>
          </w:tcPr>
          <w:p w14:paraId="6800289B" w14:textId="201687C4"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.21</w:t>
            </w:r>
          </w:p>
        </w:tc>
        <w:tc>
          <w:tcPr>
            <w:tcW w:w="1258" w:type="pct"/>
            <w:shd w:val="clear" w:color="auto" w:fill="auto"/>
            <w:noWrap/>
            <w:vAlign w:val="center"/>
            <w:hideMark/>
          </w:tcPr>
          <w:p w14:paraId="6922AC1B" w14:textId="77777777" w:rsidR="004C1D48" w:rsidRPr="000D03B4" w:rsidRDefault="004C1D48" w:rsidP="00F05644">
            <w:pPr>
              <w:widowControl/>
              <w:adjustRightInd w:val="0"/>
              <w:snapToGrid w:val="0"/>
              <w:rPr>
                <w:rFonts w:eastAsiaTheme="majorEastAsia"/>
                <w:kern w:val="0"/>
                <w:sz w:val="18"/>
                <w:szCs w:val="18"/>
              </w:rPr>
            </w:pPr>
            <w:r w:rsidRPr="000D03B4">
              <w:rPr>
                <w:rFonts w:eastAsiaTheme="majorEastAsia"/>
                <w:kern w:val="0"/>
                <w:sz w:val="18"/>
                <w:szCs w:val="18"/>
              </w:rPr>
              <w:t>中国足协所持的国有企业股权资产管理</w:t>
            </w:r>
          </w:p>
        </w:tc>
        <w:tc>
          <w:tcPr>
            <w:tcW w:w="2478" w:type="pct"/>
            <w:vMerge/>
            <w:shd w:val="clear" w:color="auto" w:fill="auto"/>
            <w:vAlign w:val="center"/>
            <w:hideMark/>
          </w:tcPr>
          <w:p w14:paraId="723173ED" w14:textId="77777777" w:rsidR="004C1D48" w:rsidRPr="000D03B4" w:rsidRDefault="004C1D48" w:rsidP="00F05644">
            <w:pPr>
              <w:widowControl/>
              <w:adjustRightInd w:val="0"/>
              <w:snapToGrid w:val="0"/>
              <w:rPr>
                <w:rFonts w:eastAsiaTheme="majorEastAsia"/>
                <w:kern w:val="0"/>
                <w:sz w:val="18"/>
                <w:szCs w:val="18"/>
              </w:rPr>
            </w:pPr>
          </w:p>
        </w:tc>
      </w:tr>
      <w:tr w:rsidR="00DE61FF" w:rsidRPr="000D03B4" w14:paraId="77248765" w14:textId="77777777" w:rsidTr="00DE61FF">
        <w:trPr>
          <w:gridAfter w:val="1"/>
          <w:wAfter w:w="16" w:type="pct"/>
          <w:trHeight w:val="538"/>
        </w:trPr>
        <w:tc>
          <w:tcPr>
            <w:tcW w:w="242" w:type="pct"/>
            <w:shd w:val="clear" w:color="auto" w:fill="auto"/>
            <w:noWrap/>
            <w:vAlign w:val="center"/>
            <w:hideMark/>
          </w:tcPr>
          <w:p w14:paraId="27A8B389" w14:textId="33A40FD9"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lastRenderedPageBreak/>
              <w:t>N</w:t>
            </w:r>
            <w:r w:rsidR="00D95167" w:rsidRPr="000D03B4">
              <w:rPr>
                <w:rFonts w:eastAsiaTheme="majorEastAsia"/>
                <w:kern w:val="0"/>
                <w:sz w:val="18"/>
                <w:szCs w:val="18"/>
              </w:rPr>
              <w:t>8</w:t>
            </w:r>
            <w:r w:rsidR="005B0529" w:rsidRPr="000D03B4">
              <w:rPr>
                <w:rFonts w:eastAsiaTheme="majorEastAsia"/>
                <w:kern w:val="0"/>
                <w:sz w:val="18"/>
                <w:szCs w:val="18"/>
              </w:rPr>
              <w:t>3</w:t>
            </w:r>
          </w:p>
        </w:tc>
        <w:tc>
          <w:tcPr>
            <w:tcW w:w="204" w:type="pct"/>
            <w:vMerge/>
            <w:shd w:val="clear" w:color="auto" w:fill="auto"/>
            <w:vAlign w:val="center"/>
            <w:hideMark/>
          </w:tcPr>
          <w:p w14:paraId="0DFC4565" w14:textId="77777777" w:rsidR="004C1D48" w:rsidRPr="000D03B4" w:rsidRDefault="004C1D48" w:rsidP="00F05644">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1FEF721" w14:textId="77777777" w:rsidR="004C1D48" w:rsidRPr="000D03B4" w:rsidRDefault="004C1D48" w:rsidP="00F05644">
            <w:pPr>
              <w:widowControl/>
              <w:adjustRightInd w:val="0"/>
              <w:snapToGrid w:val="0"/>
              <w:jc w:val="center"/>
              <w:rPr>
                <w:rFonts w:eastAsiaTheme="majorEastAsia"/>
                <w:kern w:val="0"/>
                <w:sz w:val="18"/>
                <w:szCs w:val="18"/>
              </w:rPr>
            </w:pPr>
          </w:p>
        </w:tc>
        <w:tc>
          <w:tcPr>
            <w:tcW w:w="353" w:type="pct"/>
            <w:shd w:val="clear" w:color="auto" w:fill="auto"/>
            <w:noWrap/>
            <w:vAlign w:val="center"/>
          </w:tcPr>
          <w:p w14:paraId="4D5B72BF" w14:textId="478CEA51"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.22</w:t>
            </w:r>
          </w:p>
        </w:tc>
        <w:tc>
          <w:tcPr>
            <w:tcW w:w="1258" w:type="pct"/>
            <w:shd w:val="clear" w:color="auto" w:fill="auto"/>
            <w:noWrap/>
            <w:vAlign w:val="center"/>
            <w:hideMark/>
          </w:tcPr>
          <w:p w14:paraId="484DE759" w14:textId="77777777" w:rsidR="004C1D48" w:rsidRPr="000D03B4" w:rsidRDefault="004C1D48" w:rsidP="00F05644">
            <w:pPr>
              <w:widowControl/>
              <w:adjustRightInd w:val="0"/>
              <w:snapToGrid w:val="0"/>
              <w:rPr>
                <w:rFonts w:eastAsiaTheme="majorEastAsia"/>
                <w:kern w:val="0"/>
                <w:sz w:val="18"/>
                <w:szCs w:val="18"/>
              </w:rPr>
            </w:pPr>
            <w:r w:rsidRPr="000D03B4">
              <w:rPr>
                <w:rFonts w:eastAsiaTheme="majorEastAsia"/>
                <w:kern w:val="0"/>
                <w:sz w:val="18"/>
                <w:szCs w:val="18"/>
              </w:rPr>
              <w:t>包装产业发展混合所有制经济中涉及的国有资产评估</w:t>
            </w:r>
          </w:p>
        </w:tc>
        <w:tc>
          <w:tcPr>
            <w:tcW w:w="2478" w:type="pct"/>
            <w:vMerge w:val="restart"/>
            <w:shd w:val="clear" w:color="auto" w:fill="auto"/>
            <w:noWrap/>
            <w:vAlign w:val="center"/>
            <w:hideMark/>
          </w:tcPr>
          <w:p w14:paraId="6FB112A0" w14:textId="77777777" w:rsidR="004C1D48" w:rsidRPr="000D03B4" w:rsidRDefault="004C1D48"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《关于加快我国包装产业转型发展的指导意见》（工信部联消费〔</w:t>
            </w:r>
            <w:r w:rsidRPr="000D03B4">
              <w:rPr>
                <w:rFonts w:eastAsiaTheme="majorEastAsia"/>
                <w:kern w:val="0"/>
                <w:sz w:val="18"/>
                <w:szCs w:val="18"/>
              </w:rPr>
              <w:t>2016</w:t>
            </w:r>
            <w:r w:rsidRPr="000D03B4">
              <w:rPr>
                <w:rFonts w:eastAsiaTheme="majorEastAsia"/>
                <w:kern w:val="0"/>
                <w:sz w:val="18"/>
                <w:szCs w:val="18"/>
              </w:rPr>
              <w:t>〕</w:t>
            </w:r>
            <w:r w:rsidRPr="000D03B4">
              <w:rPr>
                <w:rFonts w:eastAsiaTheme="majorEastAsia"/>
                <w:kern w:val="0"/>
                <w:sz w:val="18"/>
                <w:szCs w:val="18"/>
              </w:rPr>
              <w:t>397</w:t>
            </w:r>
            <w:r w:rsidRPr="000D03B4">
              <w:rPr>
                <w:rFonts w:eastAsiaTheme="majorEastAsia"/>
                <w:kern w:val="0"/>
                <w:sz w:val="18"/>
                <w:szCs w:val="18"/>
              </w:rPr>
              <w:t>号）</w:t>
            </w:r>
          </w:p>
        </w:tc>
      </w:tr>
      <w:tr w:rsidR="00DE61FF" w:rsidRPr="000D03B4" w14:paraId="50ADE90D" w14:textId="77777777" w:rsidTr="00DE61FF">
        <w:trPr>
          <w:gridAfter w:val="1"/>
          <w:wAfter w:w="16" w:type="pct"/>
          <w:trHeight w:val="560"/>
        </w:trPr>
        <w:tc>
          <w:tcPr>
            <w:tcW w:w="242" w:type="pct"/>
            <w:shd w:val="clear" w:color="auto" w:fill="auto"/>
            <w:noWrap/>
            <w:vAlign w:val="center"/>
            <w:hideMark/>
          </w:tcPr>
          <w:p w14:paraId="4F6B36E2" w14:textId="11AF4E36"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w:t>
            </w:r>
            <w:r w:rsidR="00D95167" w:rsidRPr="000D03B4">
              <w:rPr>
                <w:rFonts w:eastAsiaTheme="majorEastAsia"/>
                <w:kern w:val="0"/>
                <w:sz w:val="18"/>
                <w:szCs w:val="18"/>
              </w:rPr>
              <w:t>8</w:t>
            </w:r>
            <w:r w:rsidR="005B0529" w:rsidRPr="000D03B4">
              <w:rPr>
                <w:rFonts w:eastAsiaTheme="majorEastAsia"/>
                <w:kern w:val="0"/>
                <w:sz w:val="18"/>
                <w:szCs w:val="18"/>
              </w:rPr>
              <w:t>4</w:t>
            </w:r>
          </w:p>
        </w:tc>
        <w:tc>
          <w:tcPr>
            <w:tcW w:w="204" w:type="pct"/>
            <w:vMerge/>
            <w:shd w:val="clear" w:color="auto" w:fill="auto"/>
            <w:vAlign w:val="center"/>
            <w:hideMark/>
          </w:tcPr>
          <w:p w14:paraId="5F256C6B" w14:textId="77777777" w:rsidR="004C1D48" w:rsidRPr="000D03B4" w:rsidRDefault="004C1D48" w:rsidP="00F05644">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9BD296D" w14:textId="77777777" w:rsidR="004C1D48" w:rsidRPr="000D03B4" w:rsidRDefault="004C1D48" w:rsidP="00F05644">
            <w:pPr>
              <w:widowControl/>
              <w:adjustRightInd w:val="0"/>
              <w:snapToGrid w:val="0"/>
              <w:jc w:val="center"/>
              <w:rPr>
                <w:rFonts w:eastAsiaTheme="majorEastAsia"/>
                <w:kern w:val="0"/>
                <w:sz w:val="18"/>
                <w:szCs w:val="18"/>
              </w:rPr>
            </w:pPr>
          </w:p>
        </w:tc>
        <w:tc>
          <w:tcPr>
            <w:tcW w:w="353" w:type="pct"/>
            <w:shd w:val="clear" w:color="auto" w:fill="auto"/>
            <w:noWrap/>
            <w:vAlign w:val="center"/>
          </w:tcPr>
          <w:p w14:paraId="28EB0B4C" w14:textId="77B0E7C2"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.23</w:t>
            </w:r>
          </w:p>
        </w:tc>
        <w:tc>
          <w:tcPr>
            <w:tcW w:w="1258" w:type="pct"/>
            <w:shd w:val="clear" w:color="auto" w:fill="auto"/>
            <w:noWrap/>
            <w:vAlign w:val="center"/>
            <w:hideMark/>
          </w:tcPr>
          <w:p w14:paraId="5C1D2E23" w14:textId="77777777" w:rsidR="004C1D48" w:rsidRPr="000D03B4" w:rsidRDefault="004C1D48" w:rsidP="00F05644">
            <w:pPr>
              <w:widowControl/>
              <w:adjustRightInd w:val="0"/>
              <w:snapToGrid w:val="0"/>
              <w:rPr>
                <w:rFonts w:eastAsiaTheme="majorEastAsia"/>
                <w:kern w:val="0"/>
                <w:sz w:val="18"/>
                <w:szCs w:val="18"/>
              </w:rPr>
            </w:pPr>
            <w:r w:rsidRPr="000D03B4">
              <w:rPr>
                <w:rFonts w:eastAsiaTheme="majorEastAsia"/>
                <w:kern w:val="0"/>
                <w:sz w:val="18"/>
                <w:szCs w:val="18"/>
              </w:rPr>
              <w:t>大中型包装企业的股权分置改革中涉及的国有产权变动</w:t>
            </w:r>
          </w:p>
        </w:tc>
        <w:tc>
          <w:tcPr>
            <w:tcW w:w="2478" w:type="pct"/>
            <w:vMerge/>
            <w:shd w:val="clear" w:color="auto" w:fill="auto"/>
            <w:vAlign w:val="center"/>
            <w:hideMark/>
          </w:tcPr>
          <w:p w14:paraId="667FD226" w14:textId="77777777" w:rsidR="004C1D48" w:rsidRPr="000D03B4" w:rsidRDefault="004C1D48" w:rsidP="00F05644">
            <w:pPr>
              <w:widowControl/>
              <w:adjustRightInd w:val="0"/>
              <w:snapToGrid w:val="0"/>
              <w:rPr>
                <w:rFonts w:eastAsiaTheme="majorEastAsia"/>
                <w:kern w:val="0"/>
                <w:sz w:val="18"/>
                <w:szCs w:val="18"/>
              </w:rPr>
            </w:pPr>
          </w:p>
        </w:tc>
      </w:tr>
      <w:tr w:rsidR="00DE61FF" w:rsidRPr="000D03B4" w14:paraId="4D7C9206" w14:textId="77777777" w:rsidTr="00DE61FF">
        <w:trPr>
          <w:gridAfter w:val="1"/>
          <w:wAfter w:w="16" w:type="pct"/>
          <w:trHeight w:val="568"/>
        </w:trPr>
        <w:tc>
          <w:tcPr>
            <w:tcW w:w="242" w:type="pct"/>
            <w:shd w:val="clear" w:color="auto" w:fill="auto"/>
            <w:noWrap/>
            <w:vAlign w:val="center"/>
            <w:hideMark/>
          </w:tcPr>
          <w:p w14:paraId="3AD26B1E" w14:textId="0BE5C5C5" w:rsidR="004C1D48" w:rsidRPr="000D03B4" w:rsidRDefault="004C1D48" w:rsidP="005B0529">
            <w:pPr>
              <w:widowControl/>
              <w:adjustRightInd w:val="0"/>
              <w:snapToGrid w:val="0"/>
              <w:jc w:val="center"/>
              <w:rPr>
                <w:rFonts w:eastAsiaTheme="majorEastAsia"/>
                <w:kern w:val="0"/>
                <w:sz w:val="18"/>
                <w:szCs w:val="18"/>
              </w:rPr>
            </w:pPr>
            <w:r w:rsidRPr="000D03B4">
              <w:rPr>
                <w:rFonts w:eastAsiaTheme="majorEastAsia"/>
                <w:kern w:val="0"/>
                <w:sz w:val="18"/>
                <w:szCs w:val="18"/>
              </w:rPr>
              <w:t>N</w:t>
            </w:r>
            <w:r w:rsidR="00D95167" w:rsidRPr="000D03B4">
              <w:rPr>
                <w:rFonts w:eastAsiaTheme="majorEastAsia"/>
                <w:kern w:val="0"/>
                <w:sz w:val="18"/>
                <w:szCs w:val="18"/>
              </w:rPr>
              <w:t>8</w:t>
            </w:r>
            <w:r w:rsidR="005B0529" w:rsidRPr="000D03B4">
              <w:rPr>
                <w:rFonts w:eastAsiaTheme="majorEastAsia"/>
                <w:kern w:val="0"/>
                <w:sz w:val="18"/>
                <w:szCs w:val="18"/>
              </w:rPr>
              <w:t>5</w:t>
            </w:r>
          </w:p>
        </w:tc>
        <w:tc>
          <w:tcPr>
            <w:tcW w:w="204" w:type="pct"/>
            <w:vMerge/>
            <w:shd w:val="clear" w:color="auto" w:fill="auto"/>
            <w:vAlign w:val="center"/>
            <w:hideMark/>
          </w:tcPr>
          <w:p w14:paraId="35643E1B" w14:textId="77777777" w:rsidR="004C1D48" w:rsidRPr="000D03B4" w:rsidRDefault="004C1D48" w:rsidP="00F05644">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61AF7456" w14:textId="77777777" w:rsidR="004C1D48" w:rsidRPr="000D03B4" w:rsidRDefault="004C1D48" w:rsidP="00F05644">
            <w:pPr>
              <w:widowControl/>
              <w:adjustRightInd w:val="0"/>
              <w:snapToGrid w:val="0"/>
              <w:jc w:val="center"/>
              <w:rPr>
                <w:rFonts w:eastAsiaTheme="majorEastAsia"/>
                <w:kern w:val="0"/>
                <w:sz w:val="18"/>
                <w:szCs w:val="18"/>
              </w:rPr>
            </w:pPr>
          </w:p>
        </w:tc>
        <w:tc>
          <w:tcPr>
            <w:tcW w:w="353" w:type="pct"/>
            <w:shd w:val="clear" w:color="auto" w:fill="auto"/>
            <w:noWrap/>
            <w:vAlign w:val="center"/>
          </w:tcPr>
          <w:p w14:paraId="230F01FA" w14:textId="2208165D" w:rsidR="004C1D48" w:rsidRPr="000D03B4" w:rsidRDefault="004C1D48" w:rsidP="00433325">
            <w:pPr>
              <w:widowControl/>
              <w:adjustRightInd w:val="0"/>
              <w:snapToGrid w:val="0"/>
              <w:jc w:val="center"/>
              <w:rPr>
                <w:rFonts w:eastAsiaTheme="majorEastAsia"/>
                <w:kern w:val="0"/>
                <w:sz w:val="18"/>
                <w:szCs w:val="18"/>
              </w:rPr>
            </w:pPr>
            <w:r w:rsidRPr="000D03B4">
              <w:rPr>
                <w:rFonts w:eastAsiaTheme="majorEastAsia"/>
                <w:kern w:val="0"/>
                <w:sz w:val="18"/>
                <w:szCs w:val="18"/>
              </w:rPr>
              <w:t>1.</w:t>
            </w:r>
            <w:r w:rsidR="00433325" w:rsidRPr="000D03B4">
              <w:rPr>
                <w:rFonts w:eastAsiaTheme="majorEastAsia"/>
                <w:kern w:val="0"/>
                <w:sz w:val="18"/>
                <w:szCs w:val="18"/>
              </w:rPr>
              <w:t>8</w:t>
            </w:r>
            <w:r w:rsidRPr="000D03B4">
              <w:rPr>
                <w:rFonts w:eastAsiaTheme="majorEastAsia"/>
                <w:kern w:val="0"/>
                <w:sz w:val="18"/>
                <w:szCs w:val="18"/>
              </w:rPr>
              <w:t>.24</w:t>
            </w:r>
          </w:p>
        </w:tc>
        <w:tc>
          <w:tcPr>
            <w:tcW w:w="1258" w:type="pct"/>
            <w:shd w:val="clear" w:color="auto" w:fill="auto"/>
            <w:noWrap/>
            <w:vAlign w:val="center"/>
            <w:hideMark/>
          </w:tcPr>
          <w:p w14:paraId="11CB9B88" w14:textId="77777777" w:rsidR="004C1D48" w:rsidRPr="000D03B4" w:rsidRDefault="004C1D48" w:rsidP="00F05644">
            <w:pPr>
              <w:widowControl/>
              <w:adjustRightInd w:val="0"/>
              <w:snapToGrid w:val="0"/>
              <w:rPr>
                <w:rFonts w:eastAsiaTheme="majorEastAsia"/>
                <w:kern w:val="0"/>
                <w:sz w:val="18"/>
                <w:szCs w:val="18"/>
              </w:rPr>
            </w:pPr>
            <w:r w:rsidRPr="000D03B4">
              <w:rPr>
                <w:rFonts w:eastAsiaTheme="majorEastAsia"/>
                <w:kern w:val="0"/>
                <w:sz w:val="18"/>
                <w:szCs w:val="18"/>
              </w:rPr>
              <w:t>包装企业与科研院所间的资产重组</w:t>
            </w:r>
          </w:p>
        </w:tc>
        <w:tc>
          <w:tcPr>
            <w:tcW w:w="2478" w:type="pct"/>
            <w:vMerge/>
            <w:shd w:val="clear" w:color="auto" w:fill="auto"/>
            <w:vAlign w:val="center"/>
            <w:hideMark/>
          </w:tcPr>
          <w:p w14:paraId="4B1A5D5D" w14:textId="77777777" w:rsidR="004C1D48" w:rsidRPr="000D03B4" w:rsidRDefault="004C1D48" w:rsidP="00F05644">
            <w:pPr>
              <w:widowControl/>
              <w:adjustRightInd w:val="0"/>
              <w:snapToGrid w:val="0"/>
              <w:rPr>
                <w:rFonts w:eastAsiaTheme="majorEastAsia"/>
                <w:kern w:val="0"/>
                <w:sz w:val="18"/>
                <w:szCs w:val="18"/>
              </w:rPr>
            </w:pPr>
          </w:p>
        </w:tc>
      </w:tr>
      <w:tr w:rsidR="00070967" w:rsidRPr="000D03B4" w14:paraId="594FAE9B" w14:textId="77777777" w:rsidTr="00464964">
        <w:trPr>
          <w:gridAfter w:val="1"/>
          <w:wAfter w:w="15" w:type="pct"/>
          <w:trHeight w:val="300"/>
        </w:trPr>
        <w:tc>
          <w:tcPr>
            <w:tcW w:w="242" w:type="pct"/>
            <w:shd w:val="clear" w:color="auto" w:fill="auto"/>
            <w:noWrap/>
            <w:vAlign w:val="center"/>
            <w:hideMark/>
          </w:tcPr>
          <w:p w14:paraId="3D733E29" w14:textId="77777777" w:rsidR="00070967" w:rsidRPr="000D03B4" w:rsidRDefault="00070967" w:rsidP="00A745DB">
            <w:pPr>
              <w:widowControl/>
              <w:adjustRightInd w:val="0"/>
              <w:snapToGrid w:val="0"/>
              <w:jc w:val="center"/>
              <w:rPr>
                <w:rFonts w:eastAsiaTheme="majorEastAsia"/>
                <w:b/>
                <w:kern w:val="0"/>
                <w:sz w:val="18"/>
                <w:szCs w:val="18"/>
              </w:rPr>
            </w:pPr>
            <w:r w:rsidRPr="000D03B4">
              <w:rPr>
                <w:rFonts w:eastAsiaTheme="majorEastAsia"/>
                <w:b/>
                <w:kern w:val="0"/>
                <w:sz w:val="18"/>
                <w:szCs w:val="18"/>
              </w:rPr>
              <w:t>二</w:t>
            </w:r>
          </w:p>
        </w:tc>
        <w:tc>
          <w:tcPr>
            <w:tcW w:w="4743" w:type="pct"/>
            <w:gridSpan w:val="5"/>
            <w:shd w:val="clear" w:color="auto" w:fill="auto"/>
            <w:noWrap/>
            <w:vAlign w:val="center"/>
            <w:hideMark/>
          </w:tcPr>
          <w:p w14:paraId="092486AF" w14:textId="77777777" w:rsidR="00070967" w:rsidRPr="000D03B4" w:rsidRDefault="00070967" w:rsidP="00A745DB">
            <w:pPr>
              <w:widowControl/>
              <w:adjustRightInd w:val="0"/>
              <w:snapToGrid w:val="0"/>
              <w:rPr>
                <w:rFonts w:eastAsiaTheme="majorEastAsia"/>
                <w:b/>
                <w:kern w:val="0"/>
                <w:sz w:val="18"/>
                <w:szCs w:val="18"/>
              </w:rPr>
            </w:pPr>
            <w:r w:rsidRPr="000D03B4">
              <w:rPr>
                <w:rFonts w:eastAsiaTheme="majorEastAsia"/>
                <w:b/>
                <w:kern w:val="0"/>
                <w:sz w:val="18"/>
                <w:szCs w:val="18"/>
              </w:rPr>
              <w:t>评价类业务</w:t>
            </w:r>
          </w:p>
        </w:tc>
      </w:tr>
      <w:tr w:rsidR="00DE61FF" w:rsidRPr="000D03B4" w14:paraId="037009A8" w14:textId="77777777" w:rsidTr="00DE61FF">
        <w:trPr>
          <w:gridAfter w:val="1"/>
          <w:wAfter w:w="16" w:type="pct"/>
          <w:trHeight w:val="843"/>
        </w:trPr>
        <w:tc>
          <w:tcPr>
            <w:tcW w:w="242" w:type="pct"/>
            <w:shd w:val="clear" w:color="auto" w:fill="auto"/>
            <w:noWrap/>
            <w:vAlign w:val="center"/>
            <w:hideMark/>
          </w:tcPr>
          <w:p w14:paraId="60EA51A4" w14:textId="2FFDA47C"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86</w:t>
            </w:r>
          </w:p>
        </w:tc>
        <w:tc>
          <w:tcPr>
            <w:tcW w:w="204" w:type="pct"/>
            <w:vMerge w:val="restart"/>
            <w:shd w:val="clear" w:color="auto" w:fill="auto"/>
            <w:noWrap/>
            <w:vAlign w:val="center"/>
            <w:hideMark/>
          </w:tcPr>
          <w:p w14:paraId="0A622FC8"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2.1</w:t>
            </w:r>
          </w:p>
        </w:tc>
        <w:tc>
          <w:tcPr>
            <w:tcW w:w="449" w:type="pct"/>
            <w:vMerge w:val="restart"/>
            <w:shd w:val="clear" w:color="auto" w:fill="auto"/>
            <w:noWrap/>
            <w:vAlign w:val="center"/>
            <w:hideMark/>
          </w:tcPr>
          <w:p w14:paraId="73CFB29E"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企业</w:t>
            </w:r>
          </w:p>
        </w:tc>
        <w:tc>
          <w:tcPr>
            <w:tcW w:w="353" w:type="pct"/>
            <w:shd w:val="clear" w:color="auto" w:fill="auto"/>
            <w:noWrap/>
            <w:vAlign w:val="center"/>
            <w:hideMark/>
          </w:tcPr>
          <w:p w14:paraId="020442A0"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2.1.1</w:t>
            </w:r>
          </w:p>
        </w:tc>
        <w:tc>
          <w:tcPr>
            <w:tcW w:w="1258" w:type="pct"/>
            <w:shd w:val="clear" w:color="auto" w:fill="auto"/>
            <w:noWrap/>
            <w:vAlign w:val="center"/>
            <w:hideMark/>
          </w:tcPr>
          <w:p w14:paraId="787CA4E6"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企业绩效评价</w:t>
            </w:r>
          </w:p>
        </w:tc>
        <w:tc>
          <w:tcPr>
            <w:tcW w:w="2478" w:type="pct"/>
            <w:shd w:val="clear" w:color="auto" w:fill="auto"/>
            <w:vAlign w:val="center"/>
            <w:hideMark/>
          </w:tcPr>
          <w:p w14:paraId="60CF1546" w14:textId="338A209A" w:rsidR="00070967" w:rsidRPr="000D03B4" w:rsidRDefault="00070967" w:rsidP="00264E2B">
            <w:pPr>
              <w:widowControl/>
              <w:adjustRightInd w:val="0"/>
              <w:snapToGrid w:val="0"/>
              <w:jc w:val="left"/>
              <w:rPr>
                <w:rFonts w:eastAsiaTheme="majorEastAsia"/>
                <w:kern w:val="0"/>
                <w:sz w:val="18"/>
                <w:szCs w:val="18"/>
              </w:rPr>
            </w:pPr>
            <w:r w:rsidRPr="000D03B4">
              <w:rPr>
                <w:kern w:val="0"/>
                <w:sz w:val="18"/>
                <w:szCs w:val="18"/>
              </w:rPr>
              <w:t>（</w:t>
            </w:r>
            <w:r w:rsidRPr="000D03B4">
              <w:rPr>
                <w:kern w:val="0"/>
                <w:sz w:val="18"/>
                <w:szCs w:val="18"/>
              </w:rPr>
              <w:t>1</w:t>
            </w:r>
            <w:r w:rsidRPr="000D03B4">
              <w:rPr>
                <w:kern w:val="0"/>
                <w:sz w:val="18"/>
                <w:szCs w:val="18"/>
              </w:rPr>
              <w:t>）</w:t>
            </w:r>
            <w:r w:rsidRPr="000D03B4">
              <w:rPr>
                <w:rFonts w:eastAsiaTheme="majorEastAsia"/>
                <w:kern w:val="0"/>
                <w:sz w:val="18"/>
                <w:szCs w:val="18"/>
              </w:rPr>
              <w:t>《中央企业综合绩效评价管理暂行办法》（国资委令第</w:t>
            </w:r>
            <w:r w:rsidRPr="000D03B4">
              <w:rPr>
                <w:rFonts w:eastAsiaTheme="majorEastAsia"/>
                <w:kern w:val="0"/>
                <w:sz w:val="18"/>
                <w:szCs w:val="18"/>
              </w:rPr>
              <w:t>14</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2</w:t>
            </w:r>
            <w:r w:rsidRPr="000D03B4">
              <w:rPr>
                <w:kern w:val="0"/>
                <w:sz w:val="18"/>
                <w:szCs w:val="18"/>
              </w:rPr>
              <w:t>）</w:t>
            </w:r>
            <w:r w:rsidRPr="000D03B4">
              <w:rPr>
                <w:rFonts w:eastAsiaTheme="majorEastAsia"/>
                <w:kern w:val="0"/>
                <w:sz w:val="18"/>
                <w:szCs w:val="18"/>
              </w:rPr>
              <w:t>《中央企业综合绩效评价实施细则》（国</w:t>
            </w:r>
            <w:proofErr w:type="gramStart"/>
            <w:r w:rsidRPr="000D03B4">
              <w:rPr>
                <w:rFonts w:eastAsiaTheme="majorEastAsia"/>
                <w:kern w:val="0"/>
                <w:sz w:val="18"/>
                <w:szCs w:val="18"/>
              </w:rPr>
              <w:t>资发评价</w:t>
            </w:r>
            <w:proofErr w:type="gramEnd"/>
            <w:r w:rsidRPr="000D03B4">
              <w:rPr>
                <w:rFonts w:eastAsiaTheme="majorEastAsia"/>
                <w:kern w:val="0"/>
                <w:sz w:val="18"/>
                <w:szCs w:val="18"/>
              </w:rPr>
              <w:t>〔</w:t>
            </w:r>
            <w:r w:rsidRPr="000D03B4">
              <w:rPr>
                <w:rFonts w:eastAsiaTheme="majorEastAsia"/>
                <w:kern w:val="0"/>
                <w:sz w:val="18"/>
                <w:szCs w:val="18"/>
              </w:rPr>
              <w:t>2006</w:t>
            </w:r>
            <w:r w:rsidRPr="000D03B4">
              <w:rPr>
                <w:rFonts w:eastAsiaTheme="majorEastAsia"/>
                <w:kern w:val="0"/>
                <w:sz w:val="18"/>
                <w:szCs w:val="18"/>
              </w:rPr>
              <w:t>〕</w:t>
            </w:r>
            <w:r w:rsidRPr="000D03B4">
              <w:rPr>
                <w:rFonts w:eastAsiaTheme="majorEastAsia"/>
                <w:kern w:val="0"/>
                <w:sz w:val="18"/>
                <w:szCs w:val="18"/>
              </w:rPr>
              <w:t>157</w:t>
            </w:r>
            <w:r w:rsidR="00EA7C51" w:rsidRPr="000D03B4">
              <w:rPr>
                <w:rFonts w:eastAsiaTheme="majorEastAsia"/>
                <w:kern w:val="0"/>
                <w:sz w:val="18"/>
                <w:szCs w:val="18"/>
              </w:rPr>
              <w:t>号）</w:t>
            </w:r>
            <w:r w:rsidR="00C91222">
              <w:rPr>
                <w:rFonts w:eastAsiaTheme="majorEastAsia" w:hint="eastAsia"/>
                <w:kern w:val="0"/>
                <w:sz w:val="18"/>
                <w:szCs w:val="18"/>
              </w:rPr>
              <w:t>等</w:t>
            </w:r>
            <w:r w:rsidRPr="000D03B4">
              <w:rPr>
                <w:rFonts w:eastAsiaTheme="majorEastAsia"/>
                <w:kern w:val="0"/>
                <w:sz w:val="18"/>
                <w:szCs w:val="18"/>
              </w:rPr>
              <w:t>。</w:t>
            </w:r>
          </w:p>
        </w:tc>
      </w:tr>
      <w:tr w:rsidR="00DE61FF" w:rsidRPr="000D03B4" w14:paraId="1883A3D3" w14:textId="77777777" w:rsidTr="00DE61FF">
        <w:trPr>
          <w:gridAfter w:val="1"/>
          <w:wAfter w:w="16" w:type="pct"/>
          <w:trHeight w:val="521"/>
        </w:trPr>
        <w:tc>
          <w:tcPr>
            <w:tcW w:w="242" w:type="pct"/>
            <w:shd w:val="clear" w:color="auto" w:fill="auto"/>
            <w:noWrap/>
            <w:vAlign w:val="center"/>
            <w:hideMark/>
          </w:tcPr>
          <w:p w14:paraId="7C2F22BB" w14:textId="23C19461"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87</w:t>
            </w:r>
          </w:p>
        </w:tc>
        <w:tc>
          <w:tcPr>
            <w:tcW w:w="204" w:type="pct"/>
            <w:vMerge/>
            <w:shd w:val="clear" w:color="auto" w:fill="auto"/>
            <w:vAlign w:val="center"/>
            <w:hideMark/>
          </w:tcPr>
          <w:p w14:paraId="3B5AAC11"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087CF82"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5308512"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2.1.2</w:t>
            </w:r>
          </w:p>
        </w:tc>
        <w:tc>
          <w:tcPr>
            <w:tcW w:w="1258" w:type="pct"/>
            <w:shd w:val="clear" w:color="auto" w:fill="auto"/>
            <w:noWrap/>
            <w:vAlign w:val="center"/>
            <w:hideMark/>
          </w:tcPr>
          <w:p w14:paraId="016DCB06"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金融企业绩效评价</w:t>
            </w:r>
          </w:p>
        </w:tc>
        <w:tc>
          <w:tcPr>
            <w:tcW w:w="2478" w:type="pct"/>
            <w:shd w:val="clear" w:color="auto" w:fill="auto"/>
            <w:vAlign w:val="center"/>
            <w:hideMark/>
          </w:tcPr>
          <w:p w14:paraId="6C126398" w14:textId="04D5D709"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《金融企业绩效评价办法》（财金〔</w:t>
            </w:r>
            <w:r w:rsidRPr="000D03B4">
              <w:rPr>
                <w:rFonts w:eastAsiaTheme="majorEastAsia"/>
                <w:kern w:val="0"/>
                <w:sz w:val="18"/>
                <w:szCs w:val="18"/>
              </w:rPr>
              <w:t>2011</w:t>
            </w:r>
            <w:r w:rsidRPr="000D03B4">
              <w:rPr>
                <w:rFonts w:eastAsiaTheme="majorEastAsia"/>
                <w:kern w:val="0"/>
                <w:sz w:val="18"/>
                <w:szCs w:val="18"/>
              </w:rPr>
              <w:t>〕</w:t>
            </w:r>
            <w:r w:rsidRPr="000D03B4">
              <w:rPr>
                <w:rFonts w:eastAsiaTheme="majorEastAsia"/>
                <w:kern w:val="0"/>
                <w:sz w:val="18"/>
                <w:szCs w:val="18"/>
              </w:rPr>
              <w:t>50</w:t>
            </w:r>
            <w:r w:rsidR="00EA7C51" w:rsidRPr="000D03B4">
              <w:rPr>
                <w:rFonts w:eastAsiaTheme="majorEastAsia"/>
                <w:kern w:val="0"/>
                <w:sz w:val="18"/>
                <w:szCs w:val="18"/>
              </w:rPr>
              <w:t>号）</w:t>
            </w:r>
          </w:p>
        </w:tc>
      </w:tr>
      <w:tr w:rsidR="00DE61FF" w:rsidRPr="000D03B4" w14:paraId="27B8025A" w14:textId="77777777" w:rsidTr="00DE61FF">
        <w:trPr>
          <w:gridAfter w:val="1"/>
          <w:wAfter w:w="16" w:type="pct"/>
          <w:trHeight w:val="415"/>
        </w:trPr>
        <w:tc>
          <w:tcPr>
            <w:tcW w:w="242" w:type="pct"/>
            <w:shd w:val="clear" w:color="auto" w:fill="auto"/>
            <w:noWrap/>
            <w:vAlign w:val="center"/>
            <w:hideMark/>
          </w:tcPr>
          <w:p w14:paraId="0D30A05C" w14:textId="40854FED"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88</w:t>
            </w:r>
          </w:p>
        </w:tc>
        <w:tc>
          <w:tcPr>
            <w:tcW w:w="204" w:type="pct"/>
            <w:vMerge/>
            <w:shd w:val="clear" w:color="auto" w:fill="auto"/>
            <w:vAlign w:val="center"/>
            <w:hideMark/>
          </w:tcPr>
          <w:p w14:paraId="0410CEE5"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13DDD01B"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3F855607"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2.1.3</w:t>
            </w:r>
          </w:p>
        </w:tc>
        <w:tc>
          <w:tcPr>
            <w:tcW w:w="1258" w:type="pct"/>
            <w:shd w:val="clear" w:color="auto" w:fill="auto"/>
            <w:noWrap/>
            <w:vAlign w:val="center"/>
            <w:hideMark/>
          </w:tcPr>
          <w:p w14:paraId="7942298D"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现代服务业综合试点工作绩效评价</w:t>
            </w:r>
          </w:p>
        </w:tc>
        <w:tc>
          <w:tcPr>
            <w:tcW w:w="2478" w:type="pct"/>
            <w:shd w:val="clear" w:color="auto" w:fill="auto"/>
            <w:vAlign w:val="center"/>
            <w:hideMark/>
          </w:tcPr>
          <w:p w14:paraId="7A40EC59" w14:textId="4DF99E7C"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《现代服务业综合试点工作绩效评价管理办法》（财建〔</w:t>
            </w:r>
            <w:r w:rsidRPr="000D03B4">
              <w:rPr>
                <w:rFonts w:eastAsiaTheme="majorEastAsia"/>
                <w:kern w:val="0"/>
                <w:sz w:val="18"/>
                <w:szCs w:val="18"/>
              </w:rPr>
              <w:t>2012</w:t>
            </w:r>
            <w:r w:rsidRPr="000D03B4">
              <w:rPr>
                <w:rFonts w:eastAsiaTheme="majorEastAsia"/>
                <w:kern w:val="0"/>
                <w:sz w:val="18"/>
                <w:szCs w:val="18"/>
              </w:rPr>
              <w:t>〕</w:t>
            </w:r>
            <w:r w:rsidRPr="000D03B4">
              <w:rPr>
                <w:rFonts w:eastAsiaTheme="majorEastAsia"/>
                <w:kern w:val="0"/>
                <w:sz w:val="18"/>
                <w:szCs w:val="18"/>
              </w:rPr>
              <w:t>863</w:t>
            </w:r>
            <w:r w:rsidRPr="000D03B4">
              <w:rPr>
                <w:rFonts w:eastAsiaTheme="majorEastAsia"/>
                <w:kern w:val="0"/>
                <w:sz w:val="18"/>
                <w:szCs w:val="18"/>
              </w:rPr>
              <w:t>号）</w:t>
            </w:r>
          </w:p>
        </w:tc>
      </w:tr>
      <w:tr w:rsidR="00DE61FF" w:rsidRPr="000D03B4" w14:paraId="6C073711" w14:textId="77777777" w:rsidTr="00DE61FF">
        <w:trPr>
          <w:gridAfter w:val="1"/>
          <w:wAfter w:w="16" w:type="pct"/>
          <w:trHeight w:val="549"/>
        </w:trPr>
        <w:tc>
          <w:tcPr>
            <w:tcW w:w="242" w:type="pct"/>
            <w:shd w:val="clear" w:color="auto" w:fill="auto"/>
            <w:noWrap/>
            <w:vAlign w:val="center"/>
            <w:hideMark/>
          </w:tcPr>
          <w:p w14:paraId="593EFF73" w14:textId="7FF3D611"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89</w:t>
            </w:r>
          </w:p>
        </w:tc>
        <w:tc>
          <w:tcPr>
            <w:tcW w:w="204" w:type="pct"/>
            <w:vMerge/>
            <w:shd w:val="clear" w:color="auto" w:fill="auto"/>
            <w:vAlign w:val="center"/>
            <w:hideMark/>
          </w:tcPr>
          <w:p w14:paraId="440E5E5E"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647280B"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2D81D6B"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2.1.4</w:t>
            </w:r>
          </w:p>
        </w:tc>
        <w:tc>
          <w:tcPr>
            <w:tcW w:w="1258" w:type="pct"/>
            <w:shd w:val="clear" w:color="auto" w:fill="auto"/>
            <w:noWrap/>
            <w:vAlign w:val="center"/>
            <w:hideMark/>
          </w:tcPr>
          <w:p w14:paraId="57ED493E"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上市公司业绩评价</w:t>
            </w:r>
          </w:p>
        </w:tc>
        <w:tc>
          <w:tcPr>
            <w:tcW w:w="2478" w:type="pct"/>
            <w:shd w:val="clear" w:color="auto" w:fill="auto"/>
            <w:vAlign w:val="center"/>
            <w:hideMark/>
          </w:tcPr>
          <w:p w14:paraId="451FB247" w14:textId="5AA3905A"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DE61FF" w:rsidRPr="000D03B4" w14:paraId="1EBAF876" w14:textId="77777777" w:rsidTr="00DE61FF">
        <w:trPr>
          <w:gridAfter w:val="1"/>
          <w:wAfter w:w="16" w:type="pct"/>
          <w:trHeight w:val="283"/>
        </w:trPr>
        <w:tc>
          <w:tcPr>
            <w:tcW w:w="242" w:type="pct"/>
            <w:shd w:val="clear" w:color="auto" w:fill="auto"/>
            <w:noWrap/>
            <w:vAlign w:val="center"/>
            <w:hideMark/>
          </w:tcPr>
          <w:p w14:paraId="6BD868E1" w14:textId="45C1E2BA"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90</w:t>
            </w:r>
          </w:p>
        </w:tc>
        <w:tc>
          <w:tcPr>
            <w:tcW w:w="204" w:type="pct"/>
            <w:vMerge/>
            <w:shd w:val="clear" w:color="auto" w:fill="auto"/>
            <w:vAlign w:val="center"/>
            <w:hideMark/>
          </w:tcPr>
          <w:p w14:paraId="73361B9B"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DCE05D6"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3C2DE99"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2.1.5</w:t>
            </w:r>
          </w:p>
        </w:tc>
        <w:tc>
          <w:tcPr>
            <w:tcW w:w="1258" w:type="pct"/>
            <w:shd w:val="clear" w:color="auto" w:fill="auto"/>
            <w:noWrap/>
            <w:vAlign w:val="center"/>
            <w:hideMark/>
          </w:tcPr>
          <w:p w14:paraId="45E27729" w14:textId="4D2CFE0A" w:rsidR="00070967" w:rsidRPr="000D03B4" w:rsidRDefault="00070967" w:rsidP="00B353F1">
            <w:pPr>
              <w:widowControl/>
              <w:adjustRightInd w:val="0"/>
              <w:snapToGrid w:val="0"/>
              <w:rPr>
                <w:rFonts w:eastAsiaTheme="majorEastAsia"/>
                <w:kern w:val="0"/>
                <w:sz w:val="18"/>
                <w:szCs w:val="18"/>
              </w:rPr>
            </w:pPr>
            <w:r w:rsidRPr="000D03B4">
              <w:rPr>
                <w:rFonts w:eastAsiaTheme="majorEastAsia"/>
                <w:kern w:val="0"/>
                <w:sz w:val="18"/>
                <w:szCs w:val="18"/>
              </w:rPr>
              <w:t>企业</w:t>
            </w:r>
            <w:r w:rsidR="00B353F1" w:rsidRPr="000D03B4">
              <w:rPr>
                <w:rFonts w:eastAsiaTheme="majorEastAsia"/>
                <w:kern w:val="0"/>
                <w:sz w:val="18"/>
                <w:szCs w:val="18"/>
              </w:rPr>
              <w:t>内部</w:t>
            </w:r>
            <w:r w:rsidRPr="000D03B4">
              <w:rPr>
                <w:rFonts w:eastAsiaTheme="majorEastAsia"/>
                <w:kern w:val="0"/>
                <w:sz w:val="18"/>
                <w:szCs w:val="18"/>
              </w:rPr>
              <w:t>控制评价</w:t>
            </w:r>
          </w:p>
        </w:tc>
        <w:tc>
          <w:tcPr>
            <w:tcW w:w="2478" w:type="pct"/>
            <w:shd w:val="clear" w:color="auto" w:fill="auto"/>
            <w:vAlign w:val="center"/>
            <w:hideMark/>
          </w:tcPr>
          <w:p w14:paraId="1C024919" w14:textId="55119247" w:rsidR="00070967" w:rsidRPr="000D03B4" w:rsidRDefault="00070967" w:rsidP="00264E2B">
            <w:pPr>
              <w:widowControl/>
              <w:adjustRightInd w:val="0"/>
              <w:snapToGrid w:val="0"/>
              <w:jc w:val="left"/>
              <w:rPr>
                <w:rFonts w:eastAsiaTheme="majorEastAsia"/>
                <w:b/>
                <w:i/>
                <w:kern w:val="0"/>
                <w:sz w:val="18"/>
                <w:szCs w:val="18"/>
              </w:rPr>
            </w:pPr>
            <w:r w:rsidRPr="000D03B4">
              <w:rPr>
                <w:kern w:val="0"/>
                <w:sz w:val="18"/>
                <w:szCs w:val="18"/>
              </w:rPr>
              <w:t>（</w:t>
            </w:r>
            <w:r w:rsidRPr="000D03B4">
              <w:rPr>
                <w:kern w:val="0"/>
                <w:sz w:val="18"/>
                <w:szCs w:val="18"/>
              </w:rPr>
              <w:t>1</w:t>
            </w:r>
            <w:r w:rsidRPr="000D03B4">
              <w:rPr>
                <w:kern w:val="0"/>
                <w:sz w:val="18"/>
                <w:szCs w:val="18"/>
              </w:rPr>
              <w:t>）</w:t>
            </w:r>
            <w:r w:rsidRPr="000D03B4">
              <w:rPr>
                <w:rFonts w:eastAsiaTheme="majorEastAsia"/>
                <w:kern w:val="0"/>
                <w:sz w:val="18"/>
                <w:szCs w:val="18"/>
              </w:rPr>
              <w:t>《企业内部控制基本规范》（财会〔</w:t>
            </w:r>
            <w:r w:rsidRPr="000D03B4">
              <w:rPr>
                <w:rFonts w:eastAsiaTheme="majorEastAsia"/>
                <w:kern w:val="0"/>
                <w:sz w:val="18"/>
                <w:szCs w:val="18"/>
              </w:rPr>
              <w:t>2008</w:t>
            </w:r>
            <w:r w:rsidRPr="000D03B4">
              <w:rPr>
                <w:rFonts w:eastAsiaTheme="majorEastAsia"/>
                <w:kern w:val="0"/>
                <w:sz w:val="18"/>
                <w:szCs w:val="18"/>
              </w:rPr>
              <w:t>〕</w:t>
            </w:r>
            <w:r w:rsidRPr="000D03B4">
              <w:rPr>
                <w:rFonts w:eastAsiaTheme="majorEastAsia"/>
                <w:kern w:val="0"/>
                <w:sz w:val="18"/>
                <w:szCs w:val="18"/>
              </w:rPr>
              <w:t>7</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2</w:t>
            </w:r>
            <w:r w:rsidRPr="000D03B4">
              <w:rPr>
                <w:kern w:val="0"/>
                <w:sz w:val="18"/>
                <w:szCs w:val="18"/>
              </w:rPr>
              <w:t>）</w:t>
            </w:r>
            <w:r w:rsidRPr="000D03B4">
              <w:rPr>
                <w:rFonts w:eastAsiaTheme="majorEastAsia"/>
                <w:kern w:val="0"/>
                <w:sz w:val="18"/>
                <w:szCs w:val="18"/>
              </w:rPr>
              <w:t>《企业内部控制配套指引》（财会〔</w:t>
            </w:r>
            <w:r w:rsidRPr="000D03B4">
              <w:rPr>
                <w:rFonts w:eastAsiaTheme="majorEastAsia"/>
                <w:kern w:val="0"/>
                <w:sz w:val="18"/>
                <w:szCs w:val="18"/>
              </w:rPr>
              <w:t>2010</w:t>
            </w:r>
            <w:r w:rsidRPr="000D03B4">
              <w:rPr>
                <w:rFonts w:eastAsiaTheme="majorEastAsia"/>
                <w:kern w:val="0"/>
                <w:sz w:val="18"/>
                <w:szCs w:val="18"/>
              </w:rPr>
              <w:t>〕</w:t>
            </w:r>
            <w:r w:rsidRPr="000D03B4">
              <w:rPr>
                <w:rFonts w:eastAsiaTheme="majorEastAsia"/>
                <w:kern w:val="0"/>
                <w:sz w:val="18"/>
                <w:szCs w:val="18"/>
              </w:rPr>
              <w:t>11</w:t>
            </w:r>
            <w:r w:rsidRPr="000D03B4">
              <w:rPr>
                <w:rFonts w:eastAsiaTheme="majorEastAsia"/>
                <w:kern w:val="0"/>
                <w:sz w:val="18"/>
                <w:szCs w:val="18"/>
              </w:rPr>
              <w:t>号）</w:t>
            </w:r>
            <w:r w:rsidR="00C91222">
              <w:rPr>
                <w:rFonts w:eastAsiaTheme="majorEastAsia" w:hint="eastAsia"/>
                <w:kern w:val="0"/>
                <w:sz w:val="18"/>
                <w:szCs w:val="18"/>
              </w:rPr>
              <w:t>等</w:t>
            </w:r>
            <w:r w:rsidRPr="000D03B4">
              <w:rPr>
                <w:rFonts w:eastAsiaTheme="majorEastAsia"/>
                <w:kern w:val="0"/>
                <w:sz w:val="18"/>
                <w:szCs w:val="18"/>
              </w:rPr>
              <w:t>。</w:t>
            </w:r>
          </w:p>
        </w:tc>
      </w:tr>
      <w:tr w:rsidR="00DE61FF" w:rsidRPr="000D03B4" w14:paraId="7075E5E8" w14:textId="77777777" w:rsidTr="00DE61FF">
        <w:trPr>
          <w:gridAfter w:val="1"/>
          <w:wAfter w:w="16" w:type="pct"/>
          <w:trHeight w:val="522"/>
        </w:trPr>
        <w:tc>
          <w:tcPr>
            <w:tcW w:w="242" w:type="pct"/>
            <w:shd w:val="clear" w:color="auto" w:fill="auto"/>
            <w:noWrap/>
            <w:vAlign w:val="center"/>
          </w:tcPr>
          <w:p w14:paraId="70AB12A9" w14:textId="1C05E7C8"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91</w:t>
            </w:r>
          </w:p>
        </w:tc>
        <w:tc>
          <w:tcPr>
            <w:tcW w:w="204" w:type="pct"/>
            <w:vMerge/>
            <w:shd w:val="clear" w:color="auto" w:fill="auto"/>
            <w:noWrap/>
            <w:vAlign w:val="center"/>
          </w:tcPr>
          <w:p w14:paraId="6DF7C505"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noWrap/>
            <w:vAlign w:val="center"/>
          </w:tcPr>
          <w:p w14:paraId="554E32BF"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tcPr>
          <w:p w14:paraId="33FDB2D0" w14:textId="10F4E4C0"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2.1.6</w:t>
            </w:r>
          </w:p>
        </w:tc>
        <w:tc>
          <w:tcPr>
            <w:tcW w:w="1258" w:type="pct"/>
            <w:shd w:val="clear" w:color="auto" w:fill="auto"/>
            <w:noWrap/>
            <w:vAlign w:val="center"/>
          </w:tcPr>
          <w:p w14:paraId="26C19ED8" w14:textId="6AB7341B"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品牌评价</w:t>
            </w:r>
          </w:p>
        </w:tc>
        <w:tc>
          <w:tcPr>
            <w:tcW w:w="2478" w:type="pct"/>
            <w:shd w:val="clear" w:color="auto" w:fill="auto"/>
            <w:vAlign w:val="center"/>
          </w:tcPr>
          <w:p w14:paraId="6CF790AB" w14:textId="7ACAB72D" w:rsidR="00070967" w:rsidRPr="000D03B4" w:rsidRDefault="00070967" w:rsidP="00264E2B">
            <w:pPr>
              <w:widowControl/>
              <w:adjustRightInd w:val="0"/>
              <w:snapToGrid w:val="0"/>
              <w:jc w:val="left"/>
              <w:rPr>
                <w:kern w:val="0"/>
                <w:sz w:val="18"/>
                <w:szCs w:val="18"/>
              </w:rPr>
            </w:pPr>
            <w:r w:rsidRPr="000D03B4">
              <w:rPr>
                <w:rFonts w:eastAsiaTheme="majorEastAsia"/>
                <w:kern w:val="0"/>
                <w:sz w:val="18"/>
                <w:szCs w:val="18"/>
              </w:rPr>
              <w:t>市场需求</w:t>
            </w:r>
          </w:p>
        </w:tc>
      </w:tr>
      <w:tr w:rsidR="00DE61FF" w:rsidRPr="000D03B4" w14:paraId="0892E2EF" w14:textId="77777777" w:rsidTr="00DE61FF">
        <w:trPr>
          <w:gridAfter w:val="1"/>
          <w:wAfter w:w="16" w:type="pct"/>
          <w:trHeight w:val="558"/>
        </w:trPr>
        <w:tc>
          <w:tcPr>
            <w:tcW w:w="242" w:type="pct"/>
            <w:shd w:val="clear" w:color="auto" w:fill="auto"/>
            <w:noWrap/>
            <w:vAlign w:val="center"/>
            <w:hideMark/>
          </w:tcPr>
          <w:p w14:paraId="05DA7913" w14:textId="1C9BFDE1"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92</w:t>
            </w:r>
          </w:p>
        </w:tc>
        <w:tc>
          <w:tcPr>
            <w:tcW w:w="204" w:type="pct"/>
            <w:vMerge w:val="restart"/>
            <w:shd w:val="clear" w:color="auto" w:fill="auto"/>
            <w:noWrap/>
            <w:vAlign w:val="center"/>
            <w:hideMark/>
          </w:tcPr>
          <w:p w14:paraId="67AC8BD3"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2.2</w:t>
            </w:r>
          </w:p>
        </w:tc>
        <w:tc>
          <w:tcPr>
            <w:tcW w:w="449" w:type="pct"/>
            <w:vMerge w:val="restart"/>
            <w:shd w:val="clear" w:color="auto" w:fill="auto"/>
            <w:noWrap/>
            <w:vAlign w:val="center"/>
            <w:hideMark/>
          </w:tcPr>
          <w:p w14:paraId="617D0BDF" w14:textId="49AB9639"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财政部门和预算部门（单位）等</w:t>
            </w:r>
          </w:p>
        </w:tc>
        <w:tc>
          <w:tcPr>
            <w:tcW w:w="353" w:type="pct"/>
            <w:shd w:val="clear" w:color="auto" w:fill="auto"/>
            <w:noWrap/>
            <w:vAlign w:val="center"/>
            <w:hideMark/>
          </w:tcPr>
          <w:p w14:paraId="153D4B46"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2.2.1</w:t>
            </w:r>
          </w:p>
        </w:tc>
        <w:tc>
          <w:tcPr>
            <w:tcW w:w="1258" w:type="pct"/>
            <w:shd w:val="clear" w:color="auto" w:fill="auto"/>
            <w:noWrap/>
            <w:vAlign w:val="center"/>
            <w:hideMark/>
          </w:tcPr>
          <w:p w14:paraId="6B7D6710" w14:textId="01159743" w:rsidR="00070967" w:rsidRPr="000D03B4" w:rsidRDefault="00070967" w:rsidP="00797052">
            <w:pPr>
              <w:widowControl/>
              <w:adjustRightInd w:val="0"/>
              <w:snapToGrid w:val="0"/>
              <w:rPr>
                <w:rFonts w:eastAsiaTheme="majorEastAsia"/>
                <w:kern w:val="0"/>
                <w:sz w:val="18"/>
                <w:szCs w:val="18"/>
              </w:rPr>
            </w:pPr>
            <w:r w:rsidRPr="000D03B4">
              <w:rPr>
                <w:rFonts w:eastAsiaTheme="majorEastAsia"/>
                <w:kern w:val="0"/>
                <w:sz w:val="18"/>
                <w:szCs w:val="18"/>
              </w:rPr>
              <w:t>财政</w:t>
            </w:r>
            <w:r w:rsidR="00797052" w:rsidRPr="000D03B4">
              <w:rPr>
                <w:rFonts w:eastAsiaTheme="majorEastAsia"/>
                <w:kern w:val="0"/>
                <w:sz w:val="18"/>
                <w:szCs w:val="18"/>
              </w:rPr>
              <w:t>支出绩效</w:t>
            </w:r>
            <w:r w:rsidRPr="000D03B4">
              <w:rPr>
                <w:rFonts w:eastAsiaTheme="majorEastAsia"/>
                <w:kern w:val="0"/>
                <w:sz w:val="18"/>
                <w:szCs w:val="18"/>
              </w:rPr>
              <w:t>评价</w:t>
            </w:r>
          </w:p>
        </w:tc>
        <w:tc>
          <w:tcPr>
            <w:tcW w:w="2478" w:type="pct"/>
            <w:shd w:val="clear" w:color="auto" w:fill="auto"/>
            <w:vAlign w:val="center"/>
            <w:hideMark/>
          </w:tcPr>
          <w:p w14:paraId="44E7B837" w14:textId="724A245E" w:rsidR="00070967" w:rsidRPr="000D03B4" w:rsidRDefault="00070967" w:rsidP="00264E2B">
            <w:pPr>
              <w:widowControl/>
              <w:adjustRightInd w:val="0"/>
              <w:snapToGrid w:val="0"/>
              <w:jc w:val="left"/>
              <w:rPr>
                <w:rFonts w:eastAsiaTheme="majorEastAsia"/>
                <w:b/>
                <w:i/>
                <w:kern w:val="0"/>
                <w:sz w:val="18"/>
                <w:szCs w:val="18"/>
              </w:rPr>
            </w:pPr>
            <w:r w:rsidRPr="000D03B4">
              <w:rPr>
                <w:rFonts w:eastAsiaTheme="majorEastAsia"/>
                <w:kern w:val="0"/>
                <w:sz w:val="18"/>
                <w:szCs w:val="18"/>
              </w:rPr>
              <w:t>《财政支出绩效评价管理暂行办法》（财预〔</w:t>
            </w:r>
            <w:r w:rsidRPr="000D03B4">
              <w:rPr>
                <w:rFonts w:eastAsiaTheme="majorEastAsia"/>
                <w:kern w:val="0"/>
                <w:sz w:val="18"/>
                <w:szCs w:val="18"/>
              </w:rPr>
              <w:t>2011</w:t>
            </w:r>
            <w:r w:rsidRPr="000D03B4">
              <w:rPr>
                <w:rFonts w:eastAsiaTheme="majorEastAsia"/>
                <w:kern w:val="0"/>
                <w:sz w:val="18"/>
                <w:szCs w:val="18"/>
              </w:rPr>
              <w:t>〕</w:t>
            </w:r>
            <w:r w:rsidRPr="000D03B4">
              <w:rPr>
                <w:rFonts w:eastAsiaTheme="majorEastAsia"/>
                <w:kern w:val="0"/>
                <w:sz w:val="18"/>
                <w:szCs w:val="18"/>
              </w:rPr>
              <w:t>285</w:t>
            </w:r>
            <w:r w:rsidRPr="000D03B4">
              <w:rPr>
                <w:rFonts w:eastAsiaTheme="majorEastAsia"/>
                <w:kern w:val="0"/>
                <w:sz w:val="18"/>
                <w:szCs w:val="18"/>
              </w:rPr>
              <w:t>号）</w:t>
            </w:r>
          </w:p>
        </w:tc>
      </w:tr>
      <w:tr w:rsidR="00464964" w:rsidRPr="000D03B4" w14:paraId="3C646245" w14:textId="77777777" w:rsidTr="00DE61FF">
        <w:trPr>
          <w:gridAfter w:val="1"/>
          <w:wAfter w:w="16" w:type="pct"/>
          <w:trHeight w:val="283"/>
        </w:trPr>
        <w:tc>
          <w:tcPr>
            <w:tcW w:w="242" w:type="pct"/>
            <w:shd w:val="clear" w:color="auto" w:fill="auto"/>
            <w:noWrap/>
            <w:vAlign w:val="center"/>
            <w:hideMark/>
          </w:tcPr>
          <w:p w14:paraId="0618B335" w14:textId="1615FC83"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93</w:t>
            </w:r>
          </w:p>
        </w:tc>
        <w:tc>
          <w:tcPr>
            <w:tcW w:w="204" w:type="pct"/>
            <w:vMerge/>
            <w:shd w:val="clear" w:color="auto" w:fill="auto"/>
            <w:vAlign w:val="center"/>
            <w:hideMark/>
          </w:tcPr>
          <w:p w14:paraId="173817D4"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5DF6E3AD"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3893E82"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2.2.2</w:t>
            </w:r>
          </w:p>
        </w:tc>
        <w:tc>
          <w:tcPr>
            <w:tcW w:w="1258" w:type="pct"/>
            <w:shd w:val="clear" w:color="auto" w:fill="auto"/>
            <w:noWrap/>
            <w:vAlign w:val="center"/>
            <w:hideMark/>
          </w:tcPr>
          <w:p w14:paraId="232FF930"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国有资本经营预算支出项目绩效评价</w:t>
            </w:r>
          </w:p>
        </w:tc>
        <w:tc>
          <w:tcPr>
            <w:tcW w:w="2478" w:type="pct"/>
            <w:shd w:val="clear" w:color="auto" w:fill="auto"/>
            <w:vAlign w:val="center"/>
            <w:hideMark/>
          </w:tcPr>
          <w:p w14:paraId="027778DD" w14:textId="1E25A1EF" w:rsidR="00070967" w:rsidRPr="000D03B4" w:rsidRDefault="00070967" w:rsidP="00264E2B">
            <w:pPr>
              <w:widowControl/>
              <w:adjustRightInd w:val="0"/>
              <w:snapToGrid w:val="0"/>
              <w:jc w:val="left"/>
              <w:rPr>
                <w:rFonts w:eastAsiaTheme="majorEastAsia"/>
                <w:b/>
                <w:i/>
                <w:kern w:val="0"/>
                <w:sz w:val="18"/>
                <w:szCs w:val="18"/>
              </w:rPr>
            </w:pPr>
            <w:r w:rsidRPr="000D03B4">
              <w:rPr>
                <w:kern w:val="0"/>
                <w:sz w:val="18"/>
                <w:szCs w:val="18"/>
              </w:rPr>
              <w:t>（</w:t>
            </w:r>
            <w:r w:rsidRPr="000D03B4">
              <w:rPr>
                <w:kern w:val="0"/>
                <w:sz w:val="18"/>
                <w:szCs w:val="18"/>
              </w:rPr>
              <w:t>1</w:t>
            </w:r>
            <w:r w:rsidRPr="000D03B4">
              <w:rPr>
                <w:kern w:val="0"/>
                <w:sz w:val="18"/>
                <w:szCs w:val="18"/>
              </w:rPr>
              <w:t>）</w:t>
            </w:r>
            <w:r w:rsidRPr="000D03B4">
              <w:rPr>
                <w:rFonts w:eastAsiaTheme="majorEastAsia"/>
                <w:kern w:val="0"/>
                <w:sz w:val="18"/>
                <w:szCs w:val="18"/>
              </w:rPr>
              <w:t>《财政支出绩效评价管理暂行办法》（财预〔</w:t>
            </w:r>
            <w:r w:rsidRPr="000D03B4">
              <w:rPr>
                <w:rFonts w:eastAsiaTheme="majorEastAsia"/>
                <w:kern w:val="0"/>
                <w:sz w:val="18"/>
                <w:szCs w:val="18"/>
              </w:rPr>
              <w:t>2011</w:t>
            </w:r>
            <w:r w:rsidRPr="000D03B4">
              <w:rPr>
                <w:rFonts w:eastAsiaTheme="majorEastAsia"/>
                <w:kern w:val="0"/>
                <w:sz w:val="18"/>
                <w:szCs w:val="18"/>
              </w:rPr>
              <w:t>〕</w:t>
            </w:r>
            <w:r w:rsidRPr="000D03B4">
              <w:rPr>
                <w:rFonts w:eastAsiaTheme="majorEastAsia"/>
                <w:kern w:val="0"/>
                <w:sz w:val="18"/>
                <w:szCs w:val="18"/>
              </w:rPr>
              <w:t>285</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2</w:t>
            </w:r>
            <w:r w:rsidRPr="000D03B4">
              <w:rPr>
                <w:kern w:val="0"/>
                <w:sz w:val="18"/>
                <w:szCs w:val="18"/>
              </w:rPr>
              <w:t>）</w:t>
            </w:r>
            <w:r w:rsidRPr="000D03B4">
              <w:rPr>
                <w:rFonts w:eastAsiaTheme="majorEastAsia"/>
                <w:kern w:val="0"/>
                <w:sz w:val="18"/>
                <w:szCs w:val="18"/>
              </w:rPr>
              <w:t>《财政部关于印发</w:t>
            </w:r>
            <w:r w:rsidRPr="000D03B4">
              <w:rPr>
                <w:rFonts w:eastAsiaTheme="majorEastAsia"/>
                <w:kern w:val="0"/>
                <w:sz w:val="18"/>
                <w:szCs w:val="18"/>
              </w:rPr>
              <w:t>&lt;</w:t>
            </w:r>
            <w:r w:rsidRPr="000D03B4">
              <w:rPr>
                <w:rFonts w:eastAsiaTheme="majorEastAsia"/>
                <w:kern w:val="0"/>
                <w:sz w:val="18"/>
                <w:szCs w:val="18"/>
              </w:rPr>
              <w:t>加强企业财务信息管理暂行规定</w:t>
            </w:r>
            <w:r w:rsidRPr="000D03B4">
              <w:rPr>
                <w:rFonts w:eastAsiaTheme="majorEastAsia"/>
                <w:kern w:val="0"/>
                <w:sz w:val="18"/>
                <w:szCs w:val="18"/>
              </w:rPr>
              <w:t>&gt;</w:t>
            </w:r>
            <w:r w:rsidRPr="000D03B4">
              <w:rPr>
                <w:rFonts w:eastAsiaTheme="majorEastAsia"/>
                <w:kern w:val="0"/>
                <w:sz w:val="18"/>
                <w:szCs w:val="18"/>
              </w:rPr>
              <w:t>的通知》（财企〔</w:t>
            </w:r>
            <w:r w:rsidRPr="000D03B4">
              <w:rPr>
                <w:rFonts w:eastAsiaTheme="majorEastAsia"/>
                <w:kern w:val="0"/>
                <w:sz w:val="18"/>
                <w:szCs w:val="18"/>
              </w:rPr>
              <w:t>2012</w:t>
            </w:r>
            <w:r w:rsidRPr="000D03B4">
              <w:rPr>
                <w:rFonts w:eastAsiaTheme="majorEastAsia"/>
                <w:kern w:val="0"/>
                <w:sz w:val="18"/>
                <w:szCs w:val="18"/>
              </w:rPr>
              <w:t>〕</w:t>
            </w:r>
            <w:r w:rsidRPr="000D03B4">
              <w:rPr>
                <w:rFonts w:eastAsiaTheme="majorEastAsia"/>
                <w:kern w:val="0"/>
                <w:sz w:val="18"/>
                <w:szCs w:val="18"/>
              </w:rPr>
              <w:t>23</w:t>
            </w:r>
            <w:r w:rsidR="00EA7C51" w:rsidRPr="000D03B4">
              <w:rPr>
                <w:rFonts w:eastAsiaTheme="majorEastAsia"/>
                <w:kern w:val="0"/>
                <w:sz w:val="18"/>
                <w:szCs w:val="18"/>
              </w:rPr>
              <w:t>号）</w:t>
            </w:r>
            <w:r w:rsidR="00C91222">
              <w:rPr>
                <w:rFonts w:eastAsiaTheme="majorEastAsia" w:hint="eastAsia"/>
                <w:kern w:val="0"/>
                <w:sz w:val="18"/>
                <w:szCs w:val="18"/>
              </w:rPr>
              <w:t>等</w:t>
            </w:r>
            <w:r w:rsidRPr="000D03B4">
              <w:rPr>
                <w:rFonts w:eastAsiaTheme="majorEastAsia"/>
                <w:kern w:val="0"/>
                <w:sz w:val="18"/>
                <w:szCs w:val="18"/>
              </w:rPr>
              <w:t>。</w:t>
            </w:r>
          </w:p>
        </w:tc>
      </w:tr>
      <w:tr w:rsidR="00DE61FF" w:rsidRPr="000D03B4" w14:paraId="4EA0E6B4" w14:textId="77777777" w:rsidTr="00DE61FF">
        <w:trPr>
          <w:gridAfter w:val="1"/>
          <w:wAfter w:w="16" w:type="pct"/>
          <w:trHeight w:val="405"/>
        </w:trPr>
        <w:tc>
          <w:tcPr>
            <w:tcW w:w="242" w:type="pct"/>
            <w:shd w:val="clear" w:color="auto" w:fill="auto"/>
            <w:noWrap/>
            <w:vAlign w:val="center"/>
            <w:hideMark/>
          </w:tcPr>
          <w:p w14:paraId="721ABC72" w14:textId="4C79E65C"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94</w:t>
            </w:r>
          </w:p>
        </w:tc>
        <w:tc>
          <w:tcPr>
            <w:tcW w:w="204" w:type="pct"/>
            <w:vMerge/>
            <w:shd w:val="clear" w:color="auto" w:fill="auto"/>
            <w:vAlign w:val="center"/>
            <w:hideMark/>
          </w:tcPr>
          <w:p w14:paraId="001FC86F"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5E58F76E"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6191E24"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2.2.3</w:t>
            </w:r>
          </w:p>
        </w:tc>
        <w:tc>
          <w:tcPr>
            <w:tcW w:w="1258" w:type="pct"/>
            <w:shd w:val="clear" w:color="auto" w:fill="auto"/>
            <w:noWrap/>
            <w:vAlign w:val="center"/>
            <w:hideMark/>
          </w:tcPr>
          <w:p w14:paraId="5CA61182"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中小企业发展专项资金评审</w:t>
            </w:r>
          </w:p>
        </w:tc>
        <w:tc>
          <w:tcPr>
            <w:tcW w:w="2478" w:type="pct"/>
            <w:shd w:val="clear" w:color="auto" w:fill="auto"/>
            <w:vAlign w:val="center"/>
            <w:hideMark/>
          </w:tcPr>
          <w:p w14:paraId="69FA9E89" w14:textId="7FE0CA64"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《中小企业发展专项资金管理办法》（财建〔</w:t>
            </w:r>
            <w:r w:rsidRPr="000D03B4">
              <w:rPr>
                <w:rFonts w:eastAsiaTheme="majorEastAsia"/>
                <w:kern w:val="0"/>
                <w:sz w:val="18"/>
                <w:szCs w:val="18"/>
              </w:rPr>
              <w:t>2015</w:t>
            </w:r>
            <w:r w:rsidRPr="000D03B4">
              <w:rPr>
                <w:rFonts w:eastAsiaTheme="majorEastAsia"/>
                <w:kern w:val="0"/>
                <w:sz w:val="18"/>
                <w:szCs w:val="18"/>
              </w:rPr>
              <w:t>〕</w:t>
            </w:r>
            <w:r w:rsidRPr="000D03B4">
              <w:rPr>
                <w:rFonts w:eastAsiaTheme="majorEastAsia"/>
                <w:kern w:val="0"/>
                <w:sz w:val="18"/>
                <w:szCs w:val="18"/>
              </w:rPr>
              <w:t>458</w:t>
            </w:r>
            <w:r w:rsidRPr="000D03B4">
              <w:rPr>
                <w:rFonts w:eastAsiaTheme="majorEastAsia"/>
                <w:kern w:val="0"/>
                <w:sz w:val="18"/>
                <w:szCs w:val="18"/>
              </w:rPr>
              <w:t>号）</w:t>
            </w:r>
          </w:p>
        </w:tc>
      </w:tr>
      <w:tr w:rsidR="00DE61FF" w:rsidRPr="000D03B4" w14:paraId="45ECA1E2" w14:textId="77777777" w:rsidTr="00DE61FF">
        <w:trPr>
          <w:gridAfter w:val="1"/>
          <w:wAfter w:w="16" w:type="pct"/>
          <w:trHeight w:val="425"/>
        </w:trPr>
        <w:tc>
          <w:tcPr>
            <w:tcW w:w="242" w:type="pct"/>
            <w:shd w:val="clear" w:color="auto" w:fill="auto"/>
            <w:noWrap/>
            <w:vAlign w:val="center"/>
            <w:hideMark/>
          </w:tcPr>
          <w:p w14:paraId="0DBF67AD" w14:textId="67DFCB20"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N95</w:t>
            </w:r>
          </w:p>
        </w:tc>
        <w:tc>
          <w:tcPr>
            <w:tcW w:w="204" w:type="pct"/>
            <w:vMerge/>
            <w:shd w:val="clear" w:color="auto" w:fill="auto"/>
            <w:vAlign w:val="center"/>
            <w:hideMark/>
          </w:tcPr>
          <w:p w14:paraId="298D05CC"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2242B32"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099DD9A"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2.2.4</w:t>
            </w:r>
          </w:p>
        </w:tc>
        <w:tc>
          <w:tcPr>
            <w:tcW w:w="1258" w:type="pct"/>
            <w:shd w:val="clear" w:color="auto" w:fill="auto"/>
            <w:noWrap/>
            <w:vAlign w:val="center"/>
            <w:hideMark/>
          </w:tcPr>
          <w:p w14:paraId="09D73EE1"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政府出资产业投资基金的绩效评价</w:t>
            </w:r>
          </w:p>
        </w:tc>
        <w:tc>
          <w:tcPr>
            <w:tcW w:w="2478" w:type="pct"/>
            <w:shd w:val="clear" w:color="auto" w:fill="auto"/>
            <w:vAlign w:val="center"/>
            <w:hideMark/>
          </w:tcPr>
          <w:p w14:paraId="219400BA"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《政府出资产业投资基金管理暂行办法》（发改财金规〔</w:t>
            </w:r>
            <w:r w:rsidRPr="000D03B4">
              <w:rPr>
                <w:rFonts w:eastAsiaTheme="majorEastAsia"/>
                <w:kern w:val="0"/>
                <w:sz w:val="18"/>
                <w:szCs w:val="18"/>
              </w:rPr>
              <w:t>2016</w:t>
            </w:r>
            <w:r w:rsidRPr="000D03B4">
              <w:rPr>
                <w:rFonts w:eastAsiaTheme="majorEastAsia"/>
                <w:kern w:val="0"/>
                <w:sz w:val="18"/>
                <w:szCs w:val="18"/>
              </w:rPr>
              <w:t>〕</w:t>
            </w:r>
            <w:r w:rsidRPr="000D03B4">
              <w:rPr>
                <w:rFonts w:eastAsiaTheme="majorEastAsia"/>
                <w:kern w:val="0"/>
                <w:sz w:val="18"/>
                <w:szCs w:val="18"/>
              </w:rPr>
              <w:t>2800</w:t>
            </w:r>
            <w:r w:rsidRPr="000D03B4">
              <w:rPr>
                <w:rFonts w:eastAsiaTheme="majorEastAsia"/>
                <w:kern w:val="0"/>
                <w:sz w:val="18"/>
                <w:szCs w:val="18"/>
              </w:rPr>
              <w:t>号）</w:t>
            </w:r>
          </w:p>
        </w:tc>
      </w:tr>
      <w:tr w:rsidR="00DE61FF" w:rsidRPr="000D03B4" w14:paraId="6EEB1AF0" w14:textId="77777777" w:rsidTr="00DE61FF">
        <w:trPr>
          <w:gridAfter w:val="1"/>
          <w:wAfter w:w="16" w:type="pct"/>
          <w:trHeight w:val="403"/>
        </w:trPr>
        <w:tc>
          <w:tcPr>
            <w:tcW w:w="242" w:type="pct"/>
            <w:shd w:val="clear" w:color="auto" w:fill="auto"/>
            <w:noWrap/>
            <w:vAlign w:val="center"/>
            <w:hideMark/>
          </w:tcPr>
          <w:p w14:paraId="220B2B6D" w14:textId="01240490"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N96</w:t>
            </w:r>
          </w:p>
        </w:tc>
        <w:tc>
          <w:tcPr>
            <w:tcW w:w="204" w:type="pct"/>
            <w:vMerge/>
            <w:shd w:val="clear" w:color="auto" w:fill="auto"/>
            <w:vAlign w:val="center"/>
            <w:hideMark/>
          </w:tcPr>
          <w:p w14:paraId="569782FB"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0D88C28F"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29CA697"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2.2.5</w:t>
            </w:r>
          </w:p>
        </w:tc>
        <w:tc>
          <w:tcPr>
            <w:tcW w:w="1258" w:type="pct"/>
            <w:shd w:val="clear" w:color="auto" w:fill="auto"/>
            <w:noWrap/>
            <w:vAlign w:val="center"/>
            <w:hideMark/>
          </w:tcPr>
          <w:p w14:paraId="5EAFC300"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政府投资基金绩效评价</w:t>
            </w:r>
          </w:p>
        </w:tc>
        <w:tc>
          <w:tcPr>
            <w:tcW w:w="2478" w:type="pct"/>
            <w:shd w:val="clear" w:color="auto" w:fill="auto"/>
            <w:vAlign w:val="center"/>
            <w:hideMark/>
          </w:tcPr>
          <w:p w14:paraId="17D8B02B"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《政府投资基金暂行管理办法》（财预〔</w:t>
            </w:r>
            <w:r w:rsidRPr="000D03B4">
              <w:rPr>
                <w:rFonts w:eastAsiaTheme="majorEastAsia"/>
                <w:kern w:val="0"/>
                <w:sz w:val="18"/>
                <w:szCs w:val="18"/>
              </w:rPr>
              <w:t>2015</w:t>
            </w:r>
            <w:r w:rsidRPr="000D03B4">
              <w:rPr>
                <w:rFonts w:eastAsiaTheme="majorEastAsia"/>
                <w:kern w:val="0"/>
                <w:sz w:val="18"/>
                <w:szCs w:val="18"/>
              </w:rPr>
              <w:t>〕</w:t>
            </w:r>
            <w:r w:rsidRPr="000D03B4">
              <w:rPr>
                <w:rFonts w:eastAsiaTheme="majorEastAsia"/>
                <w:kern w:val="0"/>
                <w:sz w:val="18"/>
                <w:szCs w:val="18"/>
              </w:rPr>
              <w:t>210</w:t>
            </w:r>
            <w:r w:rsidRPr="000D03B4">
              <w:rPr>
                <w:rFonts w:eastAsiaTheme="majorEastAsia"/>
                <w:kern w:val="0"/>
                <w:sz w:val="18"/>
                <w:szCs w:val="18"/>
              </w:rPr>
              <w:t>号）</w:t>
            </w:r>
          </w:p>
        </w:tc>
      </w:tr>
      <w:tr w:rsidR="00DE61FF" w:rsidRPr="000D03B4" w14:paraId="52B2053F" w14:textId="77777777" w:rsidTr="00DE61FF">
        <w:trPr>
          <w:gridAfter w:val="1"/>
          <w:wAfter w:w="16" w:type="pct"/>
          <w:trHeight w:val="423"/>
        </w:trPr>
        <w:tc>
          <w:tcPr>
            <w:tcW w:w="242" w:type="pct"/>
            <w:shd w:val="clear" w:color="auto" w:fill="auto"/>
            <w:noWrap/>
            <w:vAlign w:val="center"/>
            <w:hideMark/>
          </w:tcPr>
          <w:p w14:paraId="4C7567AB" w14:textId="0539D07B"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N97</w:t>
            </w:r>
          </w:p>
        </w:tc>
        <w:tc>
          <w:tcPr>
            <w:tcW w:w="204" w:type="pct"/>
            <w:vMerge/>
            <w:shd w:val="clear" w:color="auto" w:fill="auto"/>
            <w:vAlign w:val="center"/>
            <w:hideMark/>
          </w:tcPr>
          <w:p w14:paraId="3A1B9CE8"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505F35E4"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FA33BD9"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2.2.6</w:t>
            </w:r>
          </w:p>
        </w:tc>
        <w:tc>
          <w:tcPr>
            <w:tcW w:w="1258" w:type="pct"/>
            <w:shd w:val="clear" w:color="auto" w:fill="auto"/>
            <w:noWrap/>
            <w:vAlign w:val="center"/>
            <w:hideMark/>
          </w:tcPr>
          <w:p w14:paraId="643BF3BC" w14:textId="472DB361" w:rsidR="00070967" w:rsidRPr="000D03B4" w:rsidRDefault="00070967" w:rsidP="00044753">
            <w:pPr>
              <w:widowControl/>
              <w:adjustRightInd w:val="0"/>
              <w:snapToGrid w:val="0"/>
              <w:rPr>
                <w:rFonts w:eastAsiaTheme="majorEastAsia"/>
                <w:kern w:val="0"/>
                <w:sz w:val="18"/>
                <w:szCs w:val="18"/>
              </w:rPr>
            </w:pPr>
            <w:r w:rsidRPr="000D03B4">
              <w:rPr>
                <w:rFonts w:eastAsiaTheme="majorEastAsia"/>
                <w:kern w:val="0"/>
                <w:sz w:val="18"/>
                <w:szCs w:val="18"/>
              </w:rPr>
              <w:t>“</w:t>
            </w:r>
            <w:r w:rsidRPr="000D03B4">
              <w:rPr>
                <w:rFonts w:eastAsiaTheme="majorEastAsia"/>
                <w:kern w:val="0"/>
                <w:sz w:val="18"/>
                <w:szCs w:val="18"/>
              </w:rPr>
              <w:t>互联网</w:t>
            </w:r>
            <w:r w:rsidRPr="000D03B4">
              <w:rPr>
                <w:rFonts w:eastAsiaTheme="majorEastAsia"/>
                <w:kern w:val="0"/>
                <w:sz w:val="18"/>
                <w:szCs w:val="18"/>
              </w:rPr>
              <w:t>+</w:t>
            </w:r>
            <w:r w:rsidRPr="000D03B4">
              <w:rPr>
                <w:rFonts w:eastAsiaTheme="majorEastAsia"/>
                <w:kern w:val="0"/>
                <w:sz w:val="18"/>
                <w:szCs w:val="18"/>
              </w:rPr>
              <w:t>流通</w:t>
            </w:r>
            <w:r w:rsidRPr="000D03B4">
              <w:rPr>
                <w:rFonts w:eastAsiaTheme="majorEastAsia"/>
                <w:kern w:val="0"/>
                <w:sz w:val="18"/>
                <w:szCs w:val="18"/>
              </w:rPr>
              <w:t>”</w:t>
            </w:r>
            <w:r w:rsidRPr="000D03B4">
              <w:rPr>
                <w:rFonts w:eastAsiaTheme="majorEastAsia"/>
                <w:kern w:val="0"/>
                <w:sz w:val="18"/>
                <w:szCs w:val="18"/>
              </w:rPr>
              <w:t>发展基金评价</w:t>
            </w:r>
          </w:p>
        </w:tc>
        <w:tc>
          <w:tcPr>
            <w:tcW w:w="2478" w:type="pct"/>
            <w:shd w:val="clear" w:color="auto" w:fill="auto"/>
            <w:vAlign w:val="center"/>
            <w:hideMark/>
          </w:tcPr>
          <w:p w14:paraId="6B024F88"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《关于深入实施</w:t>
            </w:r>
            <w:r w:rsidRPr="000D03B4">
              <w:rPr>
                <w:rFonts w:eastAsiaTheme="majorEastAsia"/>
                <w:kern w:val="0"/>
                <w:sz w:val="18"/>
                <w:szCs w:val="18"/>
              </w:rPr>
              <w:t>“</w:t>
            </w:r>
            <w:r w:rsidRPr="000D03B4">
              <w:rPr>
                <w:rFonts w:eastAsiaTheme="majorEastAsia"/>
                <w:kern w:val="0"/>
                <w:sz w:val="18"/>
                <w:szCs w:val="18"/>
              </w:rPr>
              <w:t>互联网</w:t>
            </w:r>
            <w:r w:rsidRPr="000D03B4">
              <w:rPr>
                <w:rFonts w:eastAsiaTheme="majorEastAsia"/>
                <w:kern w:val="0"/>
                <w:sz w:val="18"/>
                <w:szCs w:val="18"/>
              </w:rPr>
              <w:t>+</w:t>
            </w:r>
            <w:r w:rsidRPr="000D03B4">
              <w:rPr>
                <w:rFonts w:eastAsiaTheme="majorEastAsia"/>
                <w:kern w:val="0"/>
                <w:sz w:val="18"/>
                <w:szCs w:val="18"/>
              </w:rPr>
              <w:t>流通</w:t>
            </w:r>
            <w:r w:rsidRPr="000D03B4">
              <w:rPr>
                <w:rFonts w:eastAsiaTheme="majorEastAsia"/>
                <w:kern w:val="0"/>
                <w:sz w:val="18"/>
                <w:szCs w:val="18"/>
              </w:rPr>
              <w:t>”</w:t>
            </w:r>
            <w:r w:rsidRPr="000D03B4">
              <w:rPr>
                <w:rFonts w:eastAsiaTheme="majorEastAsia"/>
                <w:kern w:val="0"/>
                <w:sz w:val="18"/>
                <w:szCs w:val="18"/>
              </w:rPr>
              <w:t>行动计划的意见》（国办发〔</w:t>
            </w:r>
            <w:r w:rsidRPr="000D03B4">
              <w:rPr>
                <w:rFonts w:eastAsiaTheme="majorEastAsia"/>
                <w:kern w:val="0"/>
                <w:sz w:val="18"/>
                <w:szCs w:val="18"/>
              </w:rPr>
              <w:t>2016</w:t>
            </w:r>
            <w:r w:rsidRPr="000D03B4">
              <w:rPr>
                <w:rFonts w:eastAsiaTheme="majorEastAsia"/>
                <w:kern w:val="0"/>
                <w:sz w:val="18"/>
                <w:szCs w:val="18"/>
              </w:rPr>
              <w:t>〕</w:t>
            </w:r>
            <w:r w:rsidRPr="000D03B4">
              <w:rPr>
                <w:rFonts w:eastAsiaTheme="majorEastAsia"/>
                <w:kern w:val="0"/>
                <w:sz w:val="18"/>
                <w:szCs w:val="18"/>
              </w:rPr>
              <w:t>24</w:t>
            </w:r>
            <w:r w:rsidRPr="000D03B4">
              <w:rPr>
                <w:rFonts w:eastAsiaTheme="majorEastAsia"/>
                <w:kern w:val="0"/>
                <w:sz w:val="18"/>
                <w:szCs w:val="18"/>
              </w:rPr>
              <w:t>号）</w:t>
            </w:r>
          </w:p>
        </w:tc>
      </w:tr>
      <w:tr w:rsidR="00070967" w:rsidRPr="000D03B4" w14:paraId="3C394915" w14:textId="77777777" w:rsidTr="00DE61FF">
        <w:trPr>
          <w:trHeight w:val="283"/>
        </w:trPr>
        <w:tc>
          <w:tcPr>
            <w:tcW w:w="242" w:type="pct"/>
            <w:shd w:val="clear" w:color="auto" w:fill="auto"/>
            <w:noWrap/>
            <w:vAlign w:val="center"/>
            <w:hideMark/>
          </w:tcPr>
          <w:p w14:paraId="128030DC" w14:textId="77777777" w:rsidR="00070967" w:rsidRPr="000D03B4" w:rsidRDefault="00070967" w:rsidP="00A745DB">
            <w:pPr>
              <w:widowControl/>
              <w:adjustRightInd w:val="0"/>
              <w:snapToGrid w:val="0"/>
              <w:jc w:val="center"/>
              <w:rPr>
                <w:rFonts w:eastAsiaTheme="majorEastAsia"/>
                <w:b/>
                <w:kern w:val="0"/>
                <w:sz w:val="18"/>
                <w:szCs w:val="18"/>
              </w:rPr>
            </w:pPr>
            <w:r w:rsidRPr="000D03B4">
              <w:rPr>
                <w:rFonts w:eastAsiaTheme="majorEastAsia"/>
                <w:b/>
                <w:kern w:val="0"/>
                <w:sz w:val="18"/>
                <w:szCs w:val="18"/>
              </w:rPr>
              <w:lastRenderedPageBreak/>
              <w:t>三</w:t>
            </w:r>
          </w:p>
        </w:tc>
        <w:tc>
          <w:tcPr>
            <w:tcW w:w="4758" w:type="pct"/>
            <w:gridSpan w:val="6"/>
            <w:shd w:val="clear" w:color="auto" w:fill="auto"/>
            <w:noWrap/>
            <w:vAlign w:val="center"/>
            <w:hideMark/>
          </w:tcPr>
          <w:p w14:paraId="5ADF1BC5" w14:textId="77777777" w:rsidR="00070967" w:rsidRPr="000D03B4" w:rsidRDefault="00070967" w:rsidP="00A745DB">
            <w:pPr>
              <w:widowControl/>
              <w:adjustRightInd w:val="0"/>
              <w:snapToGrid w:val="0"/>
              <w:rPr>
                <w:rFonts w:eastAsiaTheme="majorEastAsia"/>
                <w:b/>
                <w:kern w:val="0"/>
                <w:sz w:val="18"/>
                <w:szCs w:val="18"/>
              </w:rPr>
            </w:pPr>
            <w:r w:rsidRPr="000D03B4">
              <w:rPr>
                <w:rFonts w:eastAsiaTheme="majorEastAsia"/>
                <w:b/>
                <w:kern w:val="0"/>
                <w:sz w:val="18"/>
                <w:szCs w:val="18"/>
              </w:rPr>
              <w:t>咨询类业务</w:t>
            </w:r>
          </w:p>
        </w:tc>
      </w:tr>
      <w:tr w:rsidR="00DE61FF" w:rsidRPr="000D03B4" w14:paraId="70E686C3" w14:textId="77777777" w:rsidTr="00DE61FF">
        <w:trPr>
          <w:gridAfter w:val="1"/>
          <w:wAfter w:w="16" w:type="pct"/>
          <w:trHeight w:val="971"/>
        </w:trPr>
        <w:tc>
          <w:tcPr>
            <w:tcW w:w="242" w:type="pct"/>
            <w:shd w:val="clear" w:color="auto" w:fill="auto"/>
            <w:noWrap/>
            <w:vAlign w:val="center"/>
            <w:hideMark/>
          </w:tcPr>
          <w:p w14:paraId="7CB56F69" w14:textId="1E1A0C8F"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98</w:t>
            </w:r>
          </w:p>
        </w:tc>
        <w:tc>
          <w:tcPr>
            <w:tcW w:w="204" w:type="pct"/>
            <w:vMerge w:val="restart"/>
            <w:shd w:val="clear" w:color="auto" w:fill="auto"/>
            <w:noWrap/>
            <w:vAlign w:val="center"/>
            <w:hideMark/>
          </w:tcPr>
          <w:p w14:paraId="6563EBE4"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w:t>
            </w:r>
          </w:p>
        </w:tc>
        <w:tc>
          <w:tcPr>
            <w:tcW w:w="449" w:type="pct"/>
            <w:vMerge w:val="restart"/>
            <w:shd w:val="clear" w:color="auto" w:fill="auto"/>
            <w:noWrap/>
            <w:vAlign w:val="center"/>
            <w:hideMark/>
          </w:tcPr>
          <w:p w14:paraId="455D68D6"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企业</w:t>
            </w:r>
          </w:p>
        </w:tc>
        <w:tc>
          <w:tcPr>
            <w:tcW w:w="353" w:type="pct"/>
            <w:shd w:val="clear" w:color="auto" w:fill="auto"/>
            <w:noWrap/>
            <w:vAlign w:val="center"/>
            <w:hideMark/>
          </w:tcPr>
          <w:p w14:paraId="2B8BBFDF"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3.1.1</w:t>
            </w:r>
          </w:p>
        </w:tc>
        <w:tc>
          <w:tcPr>
            <w:tcW w:w="1258" w:type="pct"/>
            <w:shd w:val="clear" w:color="auto" w:fill="auto"/>
            <w:noWrap/>
            <w:vAlign w:val="center"/>
            <w:hideMark/>
          </w:tcPr>
          <w:p w14:paraId="2B4C9798"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尽职调查</w:t>
            </w:r>
          </w:p>
        </w:tc>
        <w:tc>
          <w:tcPr>
            <w:tcW w:w="2478" w:type="pct"/>
            <w:shd w:val="clear" w:color="auto" w:fill="auto"/>
            <w:vAlign w:val="center"/>
            <w:hideMark/>
          </w:tcPr>
          <w:p w14:paraId="29A968C3" w14:textId="089A0456" w:rsidR="00070967" w:rsidRPr="000D03B4" w:rsidRDefault="00070967" w:rsidP="00264E2B">
            <w:pPr>
              <w:widowControl/>
              <w:adjustRightInd w:val="0"/>
              <w:snapToGrid w:val="0"/>
              <w:jc w:val="left"/>
              <w:rPr>
                <w:rFonts w:eastAsiaTheme="majorEastAsia"/>
                <w:kern w:val="0"/>
                <w:sz w:val="18"/>
                <w:szCs w:val="18"/>
              </w:rPr>
            </w:pPr>
            <w:r w:rsidRPr="000D03B4">
              <w:rPr>
                <w:kern w:val="0"/>
                <w:sz w:val="18"/>
                <w:szCs w:val="18"/>
              </w:rPr>
              <w:t>（</w:t>
            </w:r>
            <w:r w:rsidRPr="000D03B4">
              <w:rPr>
                <w:kern w:val="0"/>
                <w:sz w:val="18"/>
                <w:szCs w:val="18"/>
              </w:rPr>
              <w:t>1</w:t>
            </w:r>
            <w:r w:rsidRPr="000D03B4">
              <w:rPr>
                <w:kern w:val="0"/>
                <w:sz w:val="18"/>
                <w:szCs w:val="18"/>
              </w:rPr>
              <w:t>）</w:t>
            </w:r>
            <w:r w:rsidRPr="000D03B4">
              <w:rPr>
                <w:rFonts w:eastAsiaTheme="majorEastAsia"/>
                <w:kern w:val="0"/>
                <w:sz w:val="18"/>
                <w:szCs w:val="18"/>
              </w:rPr>
              <w:t>《政府和社会资本合作（</w:t>
            </w:r>
            <w:r w:rsidRPr="000D03B4">
              <w:rPr>
                <w:rFonts w:eastAsiaTheme="majorEastAsia"/>
                <w:kern w:val="0"/>
                <w:sz w:val="18"/>
                <w:szCs w:val="18"/>
              </w:rPr>
              <w:t>PPP</w:t>
            </w:r>
            <w:r w:rsidRPr="000D03B4">
              <w:rPr>
                <w:rFonts w:eastAsiaTheme="majorEastAsia"/>
                <w:kern w:val="0"/>
                <w:sz w:val="18"/>
                <w:szCs w:val="18"/>
              </w:rPr>
              <w:t>）项目资产证券化业务尽职调查工作细则》（中基协字〔</w:t>
            </w:r>
            <w:r w:rsidRPr="000D03B4">
              <w:rPr>
                <w:rFonts w:eastAsiaTheme="majorEastAsia"/>
                <w:kern w:val="0"/>
                <w:sz w:val="18"/>
                <w:szCs w:val="18"/>
              </w:rPr>
              <w:t>2019</w:t>
            </w:r>
            <w:r w:rsidRPr="000D03B4">
              <w:rPr>
                <w:rFonts w:eastAsiaTheme="majorEastAsia"/>
                <w:kern w:val="0"/>
                <w:sz w:val="18"/>
                <w:szCs w:val="18"/>
              </w:rPr>
              <w:t>〕</w:t>
            </w:r>
            <w:r w:rsidRPr="000D03B4">
              <w:rPr>
                <w:rFonts w:eastAsiaTheme="majorEastAsia"/>
                <w:kern w:val="0"/>
                <w:sz w:val="18"/>
                <w:szCs w:val="18"/>
              </w:rPr>
              <w:t>292</w:t>
            </w:r>
            <w:r w:rsidRPr="000D03B4">
              <w:rPr>
                <w:rFonts w:eastAsiaTheme="majorEastAsia"/>
                <w:kern w:val="0"/>
                <w:sz w:val="18"/>
                <w:szCs w:val="18"/>
              </w:rPr>
              <w:t>号）；</w:t>
            </w:r>
          </w:p>
          <w:p w14:paraId="346063EF" w14:textId="24C21622" w:rsidR="00070967" w:rsidRPr="000D03B4" w:rsidRDefault="00070967" w:rsidP="00264E2B">
            <w:pPr>
              <w:widowControl/>
              <w:adjustRightInd w:val="0"/>
              <w:snapToGrid w:val="0"/>
              <w:jc w:val="left"/>
              <w:rPr>
                <w:rFonts w:eastAsiaTheme="majorEastAsia"/>
                <w:kern w:val="0"/>
                <w:sz w:val="18"/>
                <w:szCs w:val="18"/>
              </w:rPr>
            </w:pPr>
            <w:r w:rsidRPr="000D03B4">
              <w:rPr>
                <w:kern w:val="0"/>
                <w:sz w:val="18"/>
                <w:szCs w:val="18"/>
              </w:rPr>
              <w:t>（</w:t>
            </w:r>
            <w:r w:rsidRPr="000D03B4">
              <w:rPr>
                <w:kern w:val="0"/>
                <w:sz w:val="18"/>
                <w:szCs w:val="18"/>
              </w:rPr>
              <w:t>2</w:t>
            </w:r>
            <w:r w:rsidRPr="000D03B4">
              <w:rPr>
                <w:kern w:val="0"/>
                <w:sz w:val="18"/>
                <w:szCs w:val="18"/>
              </w:rPr>
              <w:t>）</w:t>
            </w:r>
            <w:r w:rsidR="00EA7C51" w:rsidRPr="000D03B4">
              <w:rPr>
                <w:rFonts w:eastAsiaTheme="majorEastAsia"/>
                <w:kern w:val="0"/>
                <w:sz w:val="18"/>
                <w:szCs w:val="18"/>
              </w:rPr>
              <w:t>市场需求</w:t>
            </w:r>
            <w:r w:rsidR="00C91222">
              <w:rPr>
                <w:rFonts w:eastAsiaTheme="majorEastAsia" w:hint="eastAsia"/>
                <w:kern w:val="0"/>
                <w:sz w:val="18"/>
                <w:szCs w:val="18"/>
              </w:rPr>
              <w:t>等</w:t>
            </w:r>
            <w:r w:rsidRPr="000D03B4">
              <w:rPr>
                <w:rFonts w:eastAsiaTheme="majorEastAsia"/>
                <w:kern w:val="0"/>
                <w:sz w:val="18"/>
                <w:szCs w:val="18"/>
              </w:rPr>
              <w:t>。</w:t>
            </w:r>
          </w:p>
        </w:tc>
      </w:tr>
      <w:tr w:rsidR="00DE61FF" w:rsidRPr="000D03B4" w14:paraId="22665F13" w14:textId="77777777" w:rsidTr="00DE61FF">
        <w:trPr>
          <w:gridAfter w:val="1"/>
          <w:wAfter w:w="16" w:type="pct"/>
          <w:trHeight w:val="545"/>
        </w:trPr>
        <w:tc>
          <w:tcPr>
            <w:tcW w:w="242" w:type="pct"/>
            <w:shd w:val="clear" w:color="auto" w:fill="auto"/>
            <w:noWrap/>
            <w:vAlign w:val="center"/>
            <w:hideMark/>
          </w:tcPr>
          <w:p w14:paraId="56CCD6DB" w14:textId="294D75EC"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99</w:t>
            </w:r>
          </w:p>
        </w:tc>
        <w:tc>
          <w:tcPr>
            <w:tcW w:w="204" w:type="pct"/>
            <w:vMerge/>
            <w:shd w:val="clear" w:color="auto" w:fill="auto"/>
            <w:vAlign w:val="center"/>
            <w:hideMark/>
          </w:tcPr>
          <w:p w14:paraId="50179AFF"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4A214E9"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4908F42E"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3.1.2</w:t>
            </w:r>
          </w:p>
        </w:tc>
        <w:tc>
          <w:tcPr>
            <w:tcW w:w="1258" w:type="pct"/>
            <w:shd w:val="clear" w:color="auto" w:fill="auto"/>
            <w:noWrap/>
            <w:vAlign w:val="center"/>
            <w:hideMark/>
          </w:tcPr>
          <w:p w14:paraId="778C51C3"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企业境外资产巡查</w:t>
            </w:r>
          </w:p>
        </w:tc>
        <w:tc>
          <w:tcPr>
            <w:tcW w:w="2478" w:type="pct"/>
            <w:shd w:val="clear" w:color="auto" w:fill="auto"/>
            <w:vAlign w:val="center"/>
            <w:hideMark/>
          </w:tcPr>
          <w:p w14:paraId="5D29A9DD" w14:textId="67B1BA55"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《中央企业境外国有资产监督管理暂行办法》（国资委令第</w:t>
            </w:r>
            <w:r w:rsidRPr="000D03B4">
              <w:rPr>
                <w:rFonts w:eastAsiaTheme="majorEastAsia"/>
                <w:kern w:val="0"/>
                <w:sz w:val="18"/>
                <w:szCs w:val="18"/>
              </w:rPr>
              <w:t>26</w:t>
            </w:r>
            <w:r w:rsidR="00EA7C51" w:rsidRPr="000D03B4">
              <w:rPr>
                <w:rFonts w:eastAsiaTheme="majorEastAsia"/>
                <w:kern w:val="0"/>
                <w:sz w:val="18"/>
                <w:szCs w:val="18"/>
              </w:rPr>
              <w:t>号）</w:t>
            </w:r>
          </w:p>
        </w:tc>
      </w:tr>
      <w:tr w:rsidR="00DE61FF" w:rsidRPr="000D03B4" w14:paraId="288DAC4B" w14:textId="77777777" w:rsidTr="00DE61FF">
        <w:trPr>
          <w:gridAfter w:val="1"/>
          <w:wAfter w:w="16" w:type="pct"/>
          <w:trHeight w:val="283"/>
        </w:trPr>
        <w:tc>
          <w:tcPr>
            <w:tcW w:w="242" w:type="pct"/>
            <w:shd w:val="clear" w:color="auto" w:fill="auto"/>
            <w:noWrap/>
            <w:vAlign w:val="center"/>
            <w:hideMark/>
          </w:tcPr>
          <w:p w14:paraId="4C5A22EF" w14:textId="44F0C034"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100</w:t>
            </w:r>
          </w:p>
        </w:tc>
        <w:tc>
          <w:tcPr>
            <w:tcW w:w="204" w:type="pct"/>
            <w:vMerge/>
            <w:shd w:val="clear" w:color="auto" w:fill="auto"/>
            <w:vAlign w:val="center"/>
            <w:hideMark/>
          </w:tcPr>
          <w:p w14:paraId="120E3280"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5B4156B"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8A67733"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3.1.3</w:t>
            </w:r>
          </w:p>
        </w:tc>
        <w:tc>
          <w:tcPr>
            <w:tcW w:w="1258" w:type="pct"/>
            <w:shd w:val="clear" w:color="auto" w:fill="auto"/>
            <w:noWrap/>
            <w:vAlign w:val="center"/>
            <w:hideMark/>
          </w:tcPr>
          <w:p w14:paraId="1537A464"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计税价格评估</w:t>
            </w:r>
          </w:p>
        </w:tc>
        <w:tc>
          <w:tcPr>
            <w:tcW w:w="2478" w:type="pct"/>
            <w:shd w:val="clear" w:color="auto" w:fill="auto"/>
            <w:vAlign w:val="center"/>
            <w:hideMark/>
          </w:tcPr>
          <w:p w14:paraId="12AA4109" w14:textId="44D7D4B1" w:rsidR="00070967" w:rsidRPr="000D03B4" w:rsidRDefault="00070967" w:rsidP="00264E2B">
            <w:pPr>
              <w:widowControl/>
              <w:adjustRightInd w:val="0"/>
              <w:snapToGrid w:val="0"/>
              <w:jc w:val="left"/>
              <w:rPr>
                <w:rFonts w:eastAsiaTheme="majorEastAsia"/>
                <w:kern w:val="0"/>
                <w:sz w:val="18"/>
                <w:szCs w:val="18"/>
              </w:rPr>
            </w:pPr>
            <w:r w:rsidRPr="000D03B4">
              <w:rPr>
                <w:kern w:val="0"/>
                <w:sz w:val="18"/>
                <w:szCs w:val="18"/>
              </w:rPr>
              <w:t>（</w:t>
            </w:r>
            <w:r w:rsidRPr="000D03B4">
              <w:rPr>
                <w:kern w:val="0"/>
                <w:sz w:val="18"/>
                <w:szCs w:val="18"/>
              </w:rPr>
              <w:t>1</w:t>
            </w:r>
            <w:r w:rsidRPr="000D03B4">
              <w:rPr>
                <w:kern w:val="0"/>
                <w:sz w:val="18"/>
                <w:szCs w:val="18"/>
              </w:rPr>
              <w:t>）</w:t>
            </w:r>
            <w:r w:rsidRPr="000D03B4">
              <w:rPr>
                <w:rFonts w:eastAsiaTheme="majorEastAsia"/>
                <w:kern w:val="0"/>
                <w:sz w:val="18"/>
                <w:szCs w:val="18"/>
              </w:rPr>
              <w:t>《企业重组业务企业所得税管理办法》（国家税务总局公告</w:t>
            </w:r>
            <w:r w:rsidRPr="000D03B4">
              <w:rPr>
                <w:rFonts w:eastAsiaTheme="majorEastAsia"/>
                <w:kern w:val="0"/>
                <w:sz w:val="18"/>
                <w:szCs w:val="18"/>
              </w:rPr>
              <w:t>2010</w:t>
            </w:r>
            <w:r w:rsidRPr="000D03B4">
              <w:rPr>
                <w:rFonts w:eastAsiaTheme="majorEastAsia"/>
                <w:kern w:val="0"/>
                <w:sz w:val="18"/>
                <w:szCs w:val="18"/>
              </w:rPr>
              <w:t>年第</w:t>
            </w:r>
            <w:r w:rsidRPr="000D03B4">
              <w:rPr>
                <w:rFonts w:eastAsiaTheme="majorEastAsia"/>
                <w:kern w:val="0"/>
                <w:sz w:val="18"/>
                <w:szCs w:val="18"/>
              </w:rPr>
              <w:t>4</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2</w:t>
            </w:r>
            <w:r w:rsidRPr="000D03B4">
              <w:rPr>
                <w:kern w:val="0"/>
                <w:sz w:val="18"/>
                <w:szCs w:val="18"/>
              </w:rPr>
              <w:t>）</w:t>
            </w:r>
            <w:r w:rsidRPr="000D03B4">
              <w:rPr>
                <w:rFonts w:eastAsiaTheme="majorEastAsia"/>
                <w:kern w:val="0"/>
                <w:sz w:val="18"/>
                <w:szCs w:val="18"/>
              </w:rPr>
              <w:t>《财政部</w:t>
            </w:r>
            <w:r w:rsidRPr="000D03B4">
              <w:rPr>
                <w:rFonts w:eastAsiaTheme="majorEastAsia"/>
                <w:kern w:val="0"/>
                <w:sz w:val="18"/>
                <w:szCs w:val="18"/>
              </w:rPr>
              <w:t xml:space="preserve"> </w:t>
            </w:r>
            <w:r w:rsidRPr="000D03B4">
              <w:rPr>
                <w:rFonts w:eastAsiaTheme="majorEastAsia"/>
                <w:kern w:val="0"/>
                <w:sz w:val="18"/>
                <w:szCs w:val="18"/>
              </w:rPr>
              <w:t>国家税务总局关于企业清算业务企业所得税处理若干问题的通知》（财税〔</w:t>
            </w:r>
            <w:r w:rsidRPr="000D03B4">
              <w:rPr>
                <w:rFonts w:eastAsiaTheme="majorEastAsia"/>
                <w:kern w:val="0"/>
                <w:sz w:val="18"/>
                <w:szCs w:val="18"/>
              </w:rPr>
              <w:t>2009</w:t>
            </w:r>
            <w:r w:rsidRPr="000D03B4">
              <w:rPr>
                <w:rFonts w:eastAsiaTheme="majorEastAsia"/>
                <w:kern w:val="0"/>
                <w:sz w:val="18"/>
                <w:szCs w:val="18"/>
              </w:rPr>
              <w:t>〕</w:t>
            </w:r>
            <w:r w:rsidRPr="000D03B4">
              <w:rPr>
                <w:rFonts w:eastAsiaTheme="majorEastAsia"/>
                <w:kern w:val="0"/>
                <w:sz w:val="18"/>
                <w:szCs w:val="18"/>
              </w:rPr>
              <w:t>60</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3</w:t>
            </w:r>
            <w:r w:rsidRPr="000D03B4">
              <w:rPr>
                <w:kern w:val="0"/>
                <w:sz w:val="18"/>
                <w:szCs w:val="18"/>
              </w:rPr>
              <w:t>）</w:t>
            </w:r>
            <w:r w:rsidRPr="000D03B4">
              <w:rPr>
                <w:rFonts w:eastAsiaTheme="majorEastAsia"/>
                <w:kern w:val="0"/>
                <w:sz w:val="18"/>
                <w:szCs w:val="18"/>
              </w:rPr>
              <w:t>《特别纳税调整实施办法（试行）》（国税发〔</w:t>
            </w:r>
            <w:r w:rsidRPr="000D03B4">
              <w:rPr>
                <w:rFonts w:eastAsiaTheme="majorEastAsia"/>
                <w:kern w:val="0"/>
                <w:sz w:val="18"/>
                <w:szCs w:val="18"/>
              </w:rPr>
              <w:t>2009</w:t>
            </w:r>
            <w:r w:rsidRPr="000D03B4">
              <w:rPr>
                <w:rFonts w:eastAsiaTheme="majorEastAsia"/>
                <w:kern w:val="0"/>
                <w:sz w:val="18"/>
                <w:szCs w:val="18"/>
              </w:rPr>
              <w:t>〕</w:t>
            </w:r>
            <w:r w:rsidRPr="000D03B4">
              <w:rPr>
                <w:rFonts w:eastAsiaTheme="majorEastAsia"/>
                <w:kern w:val="0"/>
                <w:sz w:val="18"/>
                <w:szCs w:val="18"/>
              </w:rPr>
              <w:t>2</w:t>
            </w:r>
            <w:r w:rsidRPr="000D03B4">
              <w:rPr>
                <w:rFonts w:eastAsiaTheme="majorEastAsia"/>
                <w:kern w:val="0"/>
                <w:sz w:val="18"/>
                <w:szCs w:val="18"/>
              </w:rPr>
              <w:t>号）；</w:t>
            </w:r>
            <w:r w:rsidRPr="000D03B4">
              <w:rPr>
                <w:rFonts w:eastAsiaTheme="majorEastAsia"/>
                <w:kern w:val="0"/>
                <w:sz w:val="18"/>
                <w:szCs w:val="18"/>
              </w:rPr>
              <w:br/>
            </w:r>
            <w:r w:rsidRPr="000D03B4">
              <w:rPr>
                <w:kern w:val="0"/>
                <w:sz w:val="18"/>
                <w:szCs w:val="18"/>
              </w:rPr>
              <w:t>（</w:t>
            </w:r>
            <w:r w:rsidRPr="000D03B4">
              <w:rPr>
                <w:kern w:val="0"/>
                <w:sz w:val="18"/>
                <w:szCs w:val="18"/>
              </w:rPr>
              <w:t>4</w:t>
            </w:r>
            <w:r w:rsidRPr="000D03B4">
              <w:rPr>
                <w:kern w:val="0"/>
                <w:sz w:val="18"/>
                <w:szCs w:val="18"/>
              </w:rPr>
              <w:t>）</w:t>
            </w:r>
            <w:r w:rsidRPr="000D03B4">
              <w:rPr>
                <w:rFonts w:eastAsiaTheme="majorEastAsia"/>
                <w:kern w:val="0"/>
                <w:sz w:val="18"/>
                <w:szCs w:val="18"/>
              </w:rPr>
              <w:t>《关于完善关联申报和同期资料管理有关事项的公告》（国家税务总局公告</w:t>
            </w:r>
            <w:r w:rsidRPr="000D03B4">
              <w:rPr>
                <w:rFonts w:eastAsiaTheme="majorEastAsia"/>
                <w:kern w:val="0"/>
                <w:sz w:val="18"/>
                <w:szCs w:val="18"/>
              </w:rPr>
              <w:t>2016</w:t>
            </w:r>
            <w:r w:rsidRPr="000D03B4">
              <w:rPr>
                <w:rFonts w:eastAsiaTheme="majorEastAsia"/>
                <w:kern w:val="0"/>
                <w:sz w:val="18"/>
                <w:szCs w:val="18"/>
              </w:rPr>
              <w:t>年第</w:t>
            </w:r>
            <w:r w:rsidRPr="000D03B4">
              <w:rPr>
                <w:rFonts w:eastAsiaTheme="majorEastAsia"/>
                <w:kern w:val="0"/>
                <w:sz w:val="18"/>
                <w:szCs w:val="18"/>
              </w:rPr>
              <w:t>42</w:t>
            </w:r>
            <w:r w:rsidR="00EA7C51" w:rsidRPr="000D03B4">
              <w:rPr>
                <w:rFonts w:eastAsiaTheme="majorEastAsia"/>
                <w:kern w:val="0"/>
                <w:sz w:val="18"/>
                <w:szCs w:val="18"/>
              </w:rPr>
              <w:t>号）</w:t>
            </w:r>
            <w:r w:rsidR="00C91222">
              <w:rPr>
                <w:rFonts w:eastAsiaTheme="majorEastAsia" w:hint="eastAsia"/>
                <w:kern w:val="0"/>
                <w:sz w:val="18"/>
                <w:szCs w:val="18"/>
              </w:rPr>
              <w:t>等</w:t>
            </w:r>
            <w:r w:rsidRPr="000D03B4">
              <w:rPr>
                <w:rFonts w:eastAsiaTheme="majorEastAsia"/>
                <w:kern w:val="0"/>
                <w:sz w:val="18"/>
                <w:szCs w:val="18"/>
              </w:rPr>
              <w:t>。</w:t>
            </w:r>
          </w:p>
        </w:tc>
      </w:tr>
      <w:tr w:rsidR="00DE61FF" w:rsidRPr="000D03B4" w14:paraId="571C129E" w14:textId="77777777" w:rsidTr="00DE61FF">
        <w:trPr>
          <w:gridAfter w:val="1"/>
          <w:wAfter w:w="16" w:type="pct"/>
          <w:trHeight w:val="2869"/>
        </w:trPr>
        <w:tc>
          <w:tcPr>
            <w:tcW w:w="242" w:type="pct"/>
            <w:shd w:val="clear" w:color="auto" w:fill="auto"/>
            <w:noWrap/>
            <w:vAlign w:val="center"/>
            <w:hideMark/>
          </w:tcPr>
          <w:p w14:paraId="5E1791A9" w14:textId="393AC2FB"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101</w:t>
            </w:r>
          </w:p>
        </w:tc>
        <w:tc>
          <w:tcPr>
            <w:tcW w:w="204" w:type="pct"/>
            <w:vMerge/>
            <w:shd w:val="clear" w:color="auto" w:fill="auto"/>
            <w:vAlign w:val="center"/>
            <w:hideMark/>
          </w:tcPr>
          <w:p w14:paraId="1A1E6B3A"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1C04572E"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D9141A5"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3.1.4</w:t>
            </w:r>
          </w:p>
        </w:tc>
        <w:tc>
          <w:tcPr>
            <w:tcW w:w="1258" w:type="pct"/>
            <w:shd w:val="clear" w:color="auto" w:fill="auto"/>
            <w:noWrap/>
            <w:vAlign w:val="center"/>
            <w:hideMark/>
          </w:tcPr>
          <w:p w14:paraId="78905125"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认定报关价格</w:t>
            </w:r>
          </w:p>
        </w:tc>
        <w:tc>
          <w:tcPr>
            <w:tcW w:w="2478" w:type="pct"/>
            <w:shd w:val="clear" w:color="auto" w:fill="auto"/>
            <w:vAlign w:val="center"/>
            <w:hideMark/>
          </w:tcPr>
          <w:p w14:paraId="53860289" w14:textId="5029CD98"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《中华人民共和国海关法》　（</w:t>
            </w:r>
            <w:r w:rsidRPr="000D03B4">
              <w:rPr>
                <w:rFonts w:eastAsiaTheme="majorEastAsia"/>
                <w:kern w:val="0"/>
                <w:sz w:val="18"/>
                <w:szCs w:val="18"/>
              </w:rPr>
              <w:t>1987</w:t>
            </w:r>
            <w:r w:rsidRPr="000D03B4">
              <w:rPr>
                <w:rFonts w:eastAsiaTheme="majorEastAsia"/>
                <w:kern w:val="0"/>
                <w:sz w:val="18"/>
                <w:szCs w:val="18"/>
              </w:rPr>
              <w:t>年</w:t>
            </w:r>
            <w:r w:rsidRPr="000D03B4">
              <w:rPr>
                <w:rFonts w:eastAsiaTheme="majorEastAsia"/>
                <w:kern w:val="0"/>
                <w:sz w:val="18"/>
                <w:szCs w:val="18"/>
              </w:rPr>
              <w:t>1</w:t>
            </w:r>
            <w:r w:rsidRPr="000D03B4">
              <w:rPr>
                <w:rFonts w:eastAsiaTheme="majorEastAsia"/>
                <w:kern w:val="0"/>
                <w:sz w:val="18"/>
                <w:szCs w:val="18"/>
              </w:rPr>
              <w:t>月</w:t>
            </w:r>
            <w:r w:rsidRPr="000D03B4">
              <w:rPr>
                <w:rFonts w:eastAsiaTheme="majorEastAsia"/>
                <w:kern w:val="0"/>
                <w:sz w:val="18"/>
                <w:szCs w:val="18"/>
              </w:rPr>
              <w:t>22</w:t>
            </w:r>
            <w:r w:rsidRPr="000D03B4">
              <w:rPr>
                <w:rFonts w:eastAsiaTheme="majorEastAsia"/>
                <w:kern w:val="0"/>
                <w:sz w:val="18"/>
                <w:szCs w:val="18"/>
              </w:rPr>
              <w:t>日第六届全国人民代表大会常务委员会第十九次会议通过</w:t>
            </w:r>
            <w:r w:rsidRPr="000D03B4">
              <w:rPr>
                <w:rFonts w:eastAsiaTheme="majorEastAsia"/>
                <w:kern w:val="0"/>
                <w:sz w:val="18"/>
                <w:szCs w:val="18"/>
              </w:rPr>
              <w:t xml:space="preserve">  </w:t>
            </w:r>
            <w:r w:rsidRPr="000D03B4">
              <w:rPr>
                <w:rFonts w:eastAsiaTheme="majorEastAsia"/>
                <w:kern w:val="0"/>
                <w:sz w:val="18"/>
                <w:szCs w:val="18"/>
              </w:rPr>
              <w:t>根据</w:t>
            </w:r>
            <w:r w:rsidRPr="000D03B4">
              <w:rPr>
                <w:rFonts w:eastAsiaTheme="majorEastAsia"/>
                <w:kern w:val="0"/>
                <w:sz w:val="18"/>
                <w:szCs w:val="18"/>
              </w:rPr>
              <w:t>2000</w:t>
            </w:r>
            <w:r w:rsidRPr="000D03B4">
              <w:rPr>
                <w:rFonts w:eastAsiaTheme="majorEastAsia"/>
                <w:kern w:val="0"/>
                <w:sz w:val="18"/>
                <w:szCs w:val="18"/>
              </w:rPr>
              <w:t>年</w:t>
            </w:r>
            <w:r w:rsidRPr="000D03B4">
              <w:rPr>
                <w:rFonts w:eastAsiaTheme="majorEastAsia"/>
                <w:kern w:val="0"/>
                <w:sz w:val="18"/>
                <w:szCs w:val="18"/>
              </w:rPr>
              <w:t>7</w:t>
            </w:r>
            <w:r w:rsidRPr="000D03B4">
              <w:rPr>
                <w:rFonts w:eastAsiaTheme="majorEastAsia"/>
                <w:kern w:val="0"/>
                <w:sz w:val="18"/>
                <w:szCs w:val="18"/>
              </w:rPr>
              <w:t>月</w:t>
            </w:r>
            <w:r w:rsidRPr="000D03B4">
              <w:rPr>
                <w:rFonts w:eastAsiaTheme="majorEastAsia"/>
                <w:kern w:val="0"/>
                <w:sz w:val="18"/>
                <w:szCs w:val="18"/>
              </w:rPr>
              <w:t>8</w:t>
            </w:r>
            <w:r w:rsidRPr="000D03B4">
              <w:rPr>
                <w:rFonts w:eastAsiaTheme="majorEastAsia"/>
                <w:kern w:val="0"/>
                <w:sz w:val="18"/>
                <w:szCs w:val="18"/>
              </w:rPr>
              <w:t>日第九届全国人民代表大会常务委员会第十六次会议《关于修改〈中华人民共和国海关法〉的决定》第一次修正</w:t>
            </w:r>
            <w:r w:rsidRPr="000D03B4">
              <w:rPr>
                <w:rFonts w:eastAsiaTheme="majorEastAsia"/>
                <w:kern w:val="0"/>
                <w:sz w:val="18"/>
                <w:szCs w:val="18"/>
              </w:rPr>
              <w:t xml:space="preserve">  </w:t>
            </w:r>
            <w:r w:rsidRPr="000D03B4">
              <w:rPr>
                <w:rFonts w:eastAsiaTheme="majorEastAsia"/>
                <w:kern w:val="0"/>
                <w:sz w:val="18"/>
                <w:szCs w:val="18"/>
              </w:rPr>
              <w:t>根据</w:t>
            </w:r>
            <w:r w:rsidRPr="000D03B4">
              <w:rPr>
                <w:rFonts w:eastAsiaTheme="majorEastAsia"/>
                <w:kern w:val="0"/>
                <w:sz w:val="18"/>
                <w:szCs w:val="18"/>
              </w:rPr>
              <w:t>2013</w:t>
            </w:r>
            <w:r w:rsidRPr="000D03B4">
              <w:rPr>
                <w:rFonts w:eastAsiaTheme="majorEastAsia"/>
                <w:kern w:val="0"/>
                <w:sz w:val="18"/>
                <w:szCs w:val="18"/>
              </w:rPr>
              <w:t>年</w:t>
            </w:r>
            <w:r w:rsidRPr="000D03B4">
              <w:rPr>
                <w:rFonts w:eastAsiaTheme="majorEastAsia"/>
                <w:kern w:val="0"/>
                <w:sz w:val="18"/>
                <w:szCs w:val="18"/>
              </w:rPr>
              <w:t>6</w:t>
            </w:r>
            <w:r w:rsidRPr="000D03B4">
              <w:rPr>
                <w:rFonts w:eastAsiaTheme="majorEastAsia"/>
                <w:kern w:val="0"/>
                <w:sz w:val="18"/>
                <w:szCs w:val="18"/>
              </w:rPr>
              <w:t>月</w:t>
            </w:r>
            <w:r w:rsidRPr="000D03B4">
              <w:rPr>
                <w:rFonts w:eastAsiaTheme="majorEastAsia"/>
                <w:kern w:val="0"/>
                <w:sz w:val="18"/>
                <w:szCs w:val="18"/>
              </w:rPr>
              <w:t>29</w:t>
            </w:r>
            <w:r w:rsidRPr="000D03B4">
              <w:rPr>
                <w:rFonts w:eastAsiaTheme="majorEastAsia"/>
                <w:kern w:val="0"/>
                <w:sz w:val="18"/>
                <w:szCs w:val="18"/>
              </w:rPr>
              <w:t>日第十二届全国人民代表大会常务委员会第三次会议《关于修改〈中华人民共和国文物保护法〉等十二部法律的决定》第二次修正</w:t>
            </w:r>
            <w:r w:rsidRPr="000D03B4">
              <w:rPr>
                <w:rFonts w:eastAsiaTheme="majorEastAsia"/>
                <w:kern w:val="0"/>
                <w:sz w:val="18"/>
                <w:szCs w:val="18"/>
              </w:rPr>
              <w:t xml:space="preserve">  </w:t>
            </w:r>
            <w:r w:rsidRPr="000D03B4">
              <w:rPr>
                <w:rFonts w:eastAsiaTheme="majorEastAsia"/>
                <w:kern w:val="0"/>
                <w:sz w:val="18"/>
                <w:szCs w:val="18"/>
              </w:rPr>
              <w:t>根据</w:t>
            </w:r>
            <w:r w:rsidRPr="000D03B4">
              <w:rPr>
                <w:rFonts w:eastAsiaTheme="majorEastAsia"/>
                <w:kern w:val="0"/>
                <w:sz w:val="18"/>
                <w:szCs w:val="18"/>
              </w:rPr>
              <w:t>2013</w:t>
            </w:r>
            <w:r w:rsidRPr="000D03B4">
              <w:rPr>
                <w:rFonts w:eastAsiaTheme="majorEastAsia"/>
                <w:kern w:val="0"/>
                <w:sz w:val="18"/>
                <w:szCs w:val="18"/>
              </w:rPr>
              <w:t>年</w:t>
            </w:r>
            <w:r w:rsidRPr="000D03B4">
              <w:rPr>
                <w:rFonts w:eastAsiaTheme="majorEastAsia"/>
                <w:kern w:val="0"/>
                <w:sz w:val="18"/>
                <w:szCs w:val="18"/>
              </w:rPr>
              <w:t>12</w:t>
            </w:r>
            <w:r w:rsidRPr="000D03B4">
              <w:rPr>
                <w:rFonts w:eastAsiaTheme="majorEastAsia"/>
                <w:kern w:val="0"/>
                <w:sz w:val="18"/>
                <w:szCs w:val="18"/>
              </w:rPr>
              <w:t>月</w:t>
            </w:r>
            <w:r w:rsidRPr="000D03B4">
              <w:rPr>
                <w:rFonts w:eastAsiaTheme="majorEastAsia"/>
                <w:kern w:val="0"/>
                <w:sz w:val="18"/>
                <w:szCs w:val="18"/>
              </w:rPr>
              <w:t>28</w:t>
            </w:r>
            <w:r w:rsidRPr="000D03B4">
              <w:rPr>
                <w:rFonts w:eastAsiaTheme="majorEastAsia"/>
                <w:kern w:val="0"/>
                <w:sz w:val="18"/>
                <w:szCs w:val="18"/>
              </w:rPr>
              <w:t>日第十二届全国人民代表大会常务委员会第六次会议《关于修改〈中华人民共和国海洋环境保护法〉等七部法律的决定》第三次修正</w:t>
            </w:r>
            <w:r w:rsidRPr="000D03B4">
              <w:rPr>
                <w:rFonts w:eastAsiaTheme="majorEastAsia"/>
                <w:kern w:val="0"/>
                <w:sz w:val="18"/>
                <w:szCs w:val="18"/>
              </w:rPr>
              <w:t xml:space="preserve">  </w:t>
            </w:r>
            <w:r w:rsidRPr="000D03B4">
              <w:rPr>
                <w:rFonts w:eastAsiaTheme="majorEastAsia"/>
                <w:kern w:val="0"/>
                <w:sz w:val="18"/>
                <w:szCs w:val="18"/>
              </w:rPr>
              <w:t>根据</w:t>
            </w:r>
            <w:r w:rsidRPr="000D03B4">
              <w:rPr>
                <w:rFonts w:eastAsiaTheme="majorEastAsia"/>
                <w:kern w:val="0"/>
                <w:sz w:val="18"/>
                <w:szCs w:val="18"/>
              </w:rPr>
              <w:t>2016</w:t>
            </w:r>
            <w:r w:rsidRPr="000D03B4">
              <w:rPr>
                <w:rFonts w:eastAsiaTheme="majorEastAsia"/>
                <w:kern w:val="0"/>
                <w:sz w:val="18"/>
                <w:szCs w:val="18"/>
              </w:rPr>
              <w:t>年</w:t>
            </w:r>
            <w:r w:rsidRPr="000D03B4">
              <w:rPr>
                <w:rFonts w:eastAsiaTheme="majorEastAsia"/>
                <w:kern w:val="0"/>
                <w:sz w:val="18"/>
                <w:szCs w:val="18"/>
              </w:rPr>
              <w:t>11</w:t>
            </w:r>
            <w:r w:rsidRPr="000D03B4">
              <w:rPr>
                <w:rFonts w:eastAsiaTheme="majorEastAsia"/>
                <w:kern w:val="0"/>
                <w:sz w:val="18"/>
                <w:szCs w:val="18"/>
              </w:rPr>
              <w:t>月</w:t>
            </w:r>
            <w:r w:rsidRPr="000D03B4">
              <w:rPr>
                <w:rFonts w:eastAsiaTheme="majorEastAsia"/>
                <w:kern w:val="0"/>
                <w:sz w:val="18"/>
                <w:szCs w:val="18"/>
              </w:rPr>
              <w:t>7</w:t>
            </w:r>
            <w:r w:rsidRPr="000D03B4">
              <w:rPr>
                <w:rFonts w:eastAsiaTheme="majorEastAsia"/>
                <w:kern w:val="0"/>
                <w:sz w:val="18"/>
                <w:szCs w:val="18"/>
              </w:rPr>
              <w:t>日第十二届全国人民代表大会常务委员会第二十四次会议《关于修改〈中华人民共和国对外贸易法〉等十二部法律的决定》第四次修正</w:t>
            </w:r>
            <w:r w:rsidRPr="000D03B4">
              <w:rPr>
                <w:rFonts w:eastAsiaTheme="majorEastAsia"/>
                <w:kern w:val="0"/>
                <w:sz w:val="18"/>
                <w:szCs w:val="18"/>
              </w:rPr>
              <w:t xml:space="preserve">  </w:t>
            </w:r>
            <w:r w:rsidRPr="000D03B4">
              <w:rPr>
                <w:rFonts w:eastAsiaTheme="majorEastAsia"/>
                <w:kern w:val="0"/>
                <w:sz w:val="18"/>
                <w:szCs w:val="18"/>
              </w:rPr>
              <w:t>根据</w:t>
            </w:r>
            <w:r w:rsidRPr="000D03B4">
              <w:rPr>
                <w:rFonts w:eastAsiaTheme="majorEastAsia"/>
                <w:kern w:val="0"/>
                <w:sz w:val="18"/>
                <w:szCs w:val="18"/>
              </w:rPr>
              <w:t>2017</w:t>
            </w:r>
            <w:r w:rsidRPr="000D03B4">
              <w:rPr>
                <w:rFonts w:eastAsiaTheme="majorEastAsia"/>
                <w:kern w:val="0"/>
                <w:sz w:val="18"/>
                <w:szCs w:val="18"/>
              </w:rPr>
              <w:t>年</w:t>
            </w:r>
            <w:r w:rsidRPr="000D03B4">
              <w:rPr>
                <w:rFonts w:eastAsiaTheme="majorEastAsia"/>
                <w:kern w:val="0"/>
                <w:sz w:val="18"/>
                <w:szCs w:val="18"/>
              </w:rPr>
              <w:t>11</w:t>
            </w:r>
            <w:r w:rsidRPr="000D03B4">
              <w:rPr>
                <w:rFonts w:eastAsiaTheme="majorEastAsia"/>
                <w:kern w:val="0"/>
                <w:sz w:val="18"/>
                <w:szCs w:val="18"/>
              </w:rPr>
              <w:t>月</w:t>
            </w:r>
            <w:r w:rsidRPr="000D03B4">
              <w:rPr>
                <w:rFonts w:eastAsiaTheme="majorEastAsia"/>
                <w:kern w:val="0"/>
                <w:sz w:val="18"/>
                <w:szCs w:val="18"/>
              </w:rPr>
              <w:t>4</w:t>
            </w:r>
            <w:r w:rsidRPr="000D03B4">
              <w:rPr>
                <w:rFonts w:eastAsiaTheme="majorEastAsia"/>
                <w:kern w:val="0"/>
                <w:sz w:val="18"/>
                <w:szCs w:val="18"/>
              </w:rPr>
              <w:t>日第十二届全国人民代表大会常务委员会第三十次会议《关于修改〈中华人民共和国会计法〉等十一部法律的决定》第五次修正）</w:t>
            </w:r>
          </w:p>
        </w:tc>
      </w:tr>
      <w:tr w:rsidR="00DE61FF" w:rsidRPr="000D03B4" w14:paraId="4EBB2412" w14:textId="77777777" w:rsidTr="00DE61FF">
        <w:trPr>
          <w:gridAfter w:val="1"/>
          <w:wAfter w:w="16" w:type="pct"/>
          <w:trHeight w:val="283"/>
        </w:trPr>
        <w:tc>
          <w:tcPr>
            <w:tcW w:w="242" w:type="pct"/>
            <w:shd w:val="clear" w:color="auto" w:fill="auto"/>
            <w:noWrap/>
            <w:vAlign w:val="center"/>
            <w:hideMark/>
          </w:tcPr>
          <w:p w14:paraId="6B0310DC" w14:textId="77751D21"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102</w:t>
            </w:r>
          </w:p>
        </w:tc>
        <w:tc>
          <w:tcPr>
            <w:tcW w:w="204" w:type="pct"/>
            <w:vMerge/>
            <w:shd w:val="clear" w:color="auto" w:fill="auto"/>
            <w:vAlign w:val="center"/>
            <w:hideMark/>
          </w:tcPr>
          <w:p w14:paraId="051A0D65"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538088B9"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50A016B"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3.1.5</w:t>
            </w:r>
          </w:p>
        </w:tc>
        <w:tc>
          <w:tcPr>
            <w:tcW w:w="1258" w:type="pct"/>
            <w:shd w:val="clear" w:color="auto" w:fill="auto"/>
            <w:noWrap/>
            <w:vAlign w:val="center"/>
            <w:hideMark/>
          </w:tcPr>
          <w:p w14:paraId="6BE52209"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企业财务管理评估</w:t>
            </w:r>
          </w:p>
        </w:tc>
        <w:tc>
          <w:tcPr>
            <w:tcW w:w="2478" w:type="pct"/>
            <w:shd w:val="clear" w:color="auto" w:fill="auto"/>
            <w:vAlign w:val="center"/>
            <w:hideMark/>
          </w:tcPr>
          <w:p w14:paraId="5057AE00" w14:textId="4073E8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《企业财务通则》（财政部令第</w:t>
            </w:r>
            <w:r w:rsidRPr="000D03B4">
              <w:rPr>
                <w:rFonts w:eastAsiaTheme="majorEastAsia"/>
                <w:kern w:val="0"/>
                <w:sz w:val="18"/>
                <w:szCs w:val="18"/>
              </w:rPr>
              <w:t>41</w:t>
            </w:r>
            <w:r w:rsidR="00EA7C51" w:rsidRPr="000D03B4">
              <w:rPr>
                <w:rFonts w:eastAsiaTheme="majorEastAsia"/>
                <w:kern w:val="0"/>
                <w:sz w:val="18"/>
                <w:szCs w:val="18"/>
              </w:rPr>
              <w:t>号）</w:t>
            </w:r>
          </w:p>
        </w:tc>
      </w:tr>
      <w:tr w:rsidR="00DE61FF" w:rsidRPr="000D03B4" w14:paraId="4C2CC2F5" w14:textId="77777777" w:rsidTr="00DE61FF">
        <w:trPr>
          <w:gridAfter w:val="1"/>
          <w:wAfter w:w="16" w:type="pct"/>
          <w:trHeight w:val="283"/>
        </w:trPr>
        <w:tc>
          <w:tcPr>
            <w:tcW w:w="242" w:type="pct"/>
            <w:shd w:val="clear" w:color="auto" w:fill="auto"/>
            <w:noWrap/>
            <w:vAlign w:val="center"/>
            <w:hideMark/>
          </w:tcPr>
          <w:p w14:paraId="7C6399DB" w14:textId="0A60CE9E"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103</w:t>
            </w:r>
          </w:p>
        </w:tc>
        <w:tc>
          <w:tcPr>
            <w:tcW w:w="204" w:type="pct"/>
            <w:vMerge/>
            <w:shd w:val="clear" w:color="auto" w:fill="auto"/>
            <w:vAlign w:val="center"/>
            <w:hideMark/>
          </w:tcPr>
          <w:p w14:paraId="20E619A0"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671C3BA"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456E7DAD"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3.1.6</w:t>
            </w:r>
          </w:p>
        </w:tc>
        <w:tc>
          <w:tcPr>
            <w:tcW w:w="1258" w:type="pct"/>
            <w:shd w:val="clear" w:color="auto" w:fill="auto"/>
            <w:noWrap/>
            <w:vAlign w:val="center"/>
            <w:hideMark/>
          </w:tcPr>
          <w:p w14:paraId="3AD83E26"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证券公司合规管理有效性评估</w:t>
            </w:r>
          </w:p>
        </w:tc>
        <w:tc>
          <w:tcPr>
            <w:tcW w:w="2478" w:type="pct"/>
            <w:shd w:val="clear" w:color="auto" w:fill="auto"/>
            <w:vAlign w:val="center"/>
            <w:hideMark/>
          </w:tcPr>
          <w:p w14:paraId="14D50BA7" w14:textId="0A341432"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《证券公司合规管理试行规定》（证监会公告〔</w:t>
            </w:r>
            <w:r w:rsidRPr="000D03B4">
              <w:rPr>
                <w:rFonts w:eastAsiaTheme="majorEastAsia"/>
                <w:kern w:val="0"/>
                <w:sz w:val="18"/>
                <w:szCs w:val="18"/>
              </w:rPr>
              <w:t>2008</w:t>
            </w:r>
            <w:r w:rsidRPr="000D03B4">
              <w:rPr>
                <w:rFonts w:eastAsiaTheme="majorEastAsia"/>
                <w:kern w:val="0"/>
                <w:sz w:val="18"/>
                <w:szCs w:val="18"/>
              </w:rPr>
              <w:t>〕</w:t>
            </w:r>
            <w:r w:rsidRPr="000D03B4">
              <w:rPr>
                <w:rFonts w:eastAsiaTheme="majorEastAsia"/>
                <w:kern w:val="0"/>
                <w:sz w:val="18"/>
                <w:szCs w:val="18"/>
              </w:rPr>
              <w:t>30</w:t>
            </w:r>
            <w:r w:rsidRPr="000D03B4">
              <w:rPr>
                <w:rFonts w:eastAsiaTheme="majorEastAsia"/>
                <w:kern w:val="0"/>
                <w:sz w:val="18"/>
                <w:szCs w:val="18"/>
              </w:rPr>
              <w:t>号）</w:t>
            </w:r>
          </w:p>
        </w:tc>
      </w:tr>
      <w:tr w:rsidR="00DE61FF" w:rsidRPr="000D03B4" w14:paraId="6969F292" w14:textId="77777777" w:rsidTr="00DE61FF">
        <w:trPr>
          <w:gridAfter w:val="1"/>
          <w:wAfter w:w="16" w:type="pct"/>
          <w:trHeight w:val="283"/>
        </w:trPr>
        <w:tc>
          <w:tcPr>
            <w:tcW w:w="242" w:type="pct"/>
            <w:shd w:val="clear" w:color="auto" w:fill="auto"/>
            <w:noWrap/>
            <w:vAlign w:val="center"/>
            <w:hideMark/>
          </w:tcPr>
          <w:p w14:paraId="6C40212B" w14:textId="309CDFF1" w:rsidR="00070967" w:rsidRPr="000D03B4" w:rsidRDefault="00070967" w:rsidP="003F3DE5">
            <w:pPr>
              <w:widowControl/>
              <w:adjustRightInd w:val="0"/>
              <w:snapToGrid w:val="0"/>
              <w:jc w:val="center"/>
              <w:rPr>
                <w:rFonts w:eastAsiaTheme="majorEastAsia"/>
                <w:kern w:val="0"/>
                <w:sz w:val="18"/>
                <w:szCs w:val="18"/>
              </w:rPr>
            </w:pPr>
            <w:r w:rsidRPr="000D03B4">
              <w:rPr>
                <w:rFonts w:eastAsiaTheme="majorEastAsia"/>
                <w:kern w:val="0"/>
                <w:sz w:val="18"/>
                <w:szCs w:val="18"/>
              </w:rPr>
              <w:t>N104</w:t>
            </w:r>
          </w:p>
        </w:tc>
        <w:tc>
          <w:tcPr>
            <w:tcW w:w="204" w:type="pct"/>
            <w:vMerge/>
            <w:shd w:val="clear" w:color="auto" w:fill="auto"/>
            <w:vAlign w:val="center"/>
            <w:hideMark/>
          </w:tcPr>
          <w:p w14:paraId="493DCBE3"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62C38E51"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337A4E1"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3.1.7</w:t>
            </w:r>
          </w:p>
        </w:tc>
        <w:tc>
          <w:tcPr>
            <w:tcW w:w="1258" w:type="pct"/>
            <w:shd w:val="clear" w:color="auto" w:fill="auto"/>
            <w:noWrap/>
            <w:vAlign w:val="center"/>
            <w:hideMark/>
          </w:tcPr>
          <w:p w14:paraId="08BCEAFD"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识别价值驱动因素</w:t>
            </w:r>
          </w:p>
        </w:tc>
        <w:tc>
          <w:tcPr>
            <w:tcW w:w="2478" w:type="pct"/>
            <w:shd w:val="clear" w:color="auto" w:fill="auto"/>
            <w:vAlign w:val="center"/>
            <w:hideMark/>
          </w:tcPr>
          <w:p w14:paraId="528F9592"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464964" w:rsidRPr="000D03B4" w14:paraId="021F641A" w14:textId="77777777" w:rsidTr="00DE61FF">
        <w:trPr>
          <w:gridAfter w:val="1"/>
          <w:wAfter w:w="16" w:type="pct"/>
          <w:trHeight w:val="283"/>
        </w:trPr>
        <w:tc>
          <w:tcPr>
            <w:tcW w:w="242" w:type="pct"/>
            <w:shd w:val="clear" w:color="auto" w:fill="auto"/>
            <w:noWrap/>
            <w:vAlign w:val="center"/>
            <w:hideMark/>
          </w:tcPr>
          <w:p w14:paraId="208BB537" w14:textId="4FBF9A09"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N105</w:t>
            </w:r>
          </w:p>
        </w:tc>
        <w:tc>
          <w:tcPr>
            <w:tcW w:w="204" w:type="pct"/>
            <w:vMerge/>
            <w:shd w:val="clear" w:color="auto" w:fill="auto"/>
            <w:vAlign w:val="center"/>
            <w:hideMark/>
          </w:tcPr>
          <w:p w14:paraId="4D084AB3"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52268832"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B43D7D5"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3.1.8</w:t>
            </w:r>
          </w:p>
        </w:tc>
        <w:tc>
          <w:tcPr>
            <w:tcW w:w="1258" w:type="pct"/>
            <w:shd w:val="clear" w:color="auto" w:fill="auto"/>
            <w:noWrap/>
            <w:vAlign w:val="center"/>
            <w:hideMark/>
          </w:tcPr>
          <w:p w14:paraId="64BBCEE8"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资产配置研究</w:t>
            </w:r>
          </w:p>
        </w:tc>
        <w:tc>
          <w:tcPr>
            <w:tcW w:w="2478" w:type="pct"/>
            <w:shd w:val="clear" w:color="auto" w:fill="auto"/>
            <w:vAlign w:val="center"/>
            <w:hideMark/>
          </w:tcPr>
          <w:p w14:paraId="13FD93E5"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464964" w:rsidRPr="000D03B4" w14:paraId="548B3C89" w14:textId="77777777" w:rsidTr="00DE61FF">
        <w:trPr>
          <w:gridAfter w:val="1"/>
          <w:wAfter w:w="16" w:type="pct"/>
          <w:trHeight w:val="283"/>
        </w:trPr>
        <w:tc>
          <w:tcPr>
            <w:tcW w:w="242" w:type="pct"/>
            <w:shd w:val="clear" w:color="auto" w:fill="auto"/>
            <w:noWrap/>
            <w:vAlign w:val="center"/>
            <w:hideMark/>
          </w:tcPr>
          <w:p w14:paraId="094FFDDC" w14:textId="002FBA19"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N106</w:t>
            </w:r>
          </w:p>
        </w:tc>
        <w:tc>
          <w:tcPr>
            <w:tcW w:w="204" w:type="pct"/>
            <w:vMerge/>
            <w:shd w:val="clear" w:color="auto" w:fill="auto"/>
            <w:vAlign w:val="center"/>
            <w:hideMark/>
          </w:tcPr>
          <w:p w14:paraId="61BD6074"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92A2652"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10CEC03"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3.1.9</w:t>
            </w:r>
          </w:p>
        </w:tc>
        <w:tc>
          <w:tcPr>
            <w:tcW w:w="1258" w:type="pct"/>
            <w:shd w:val="clear" w:color="auto" w:fill="auto"/>
            <w:noWrap/>
            <w:vAlign w:val="center"/>
            <w:hideMark/>
          </w:tcPr>
          <w:p w14:paraId="07C6E8DD"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投资前的尽职调查</w:t>
            </w:r>
          </w:p>
        </w:tc>
        <w:tc>
          <w:tcPr>
            <w:tcW w:w="2478" w:type="pct"/>
            <w:shd w:val="clear" w:color="auto" w:fill="auto"/>
            <w:vAlign w:val="center"/>
            <w:hideMark/>
          </w:tcPr>
          <w:p w14:paraId="74E01B7B"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DE61FF" w:rsidRPr="000D03B4" w14:paraId="2B46BCC0" w14:textId="77777777" w:rsidTr="00DE61FF">
        <w:trPr>
          <w:gridAfter w:val="1"/>
          <w:wAfter w:w="16" w:type="pct"/>
          <w:trHeight w:val="283"/>
        </w:trPr>
        <w:tc>
          <w:tcPr>
            <w:tcW w:w="242" w:type="pct"/>
            <w:shd w:val="clear" w:color="auto" w:fill="auto"/>
            <w:noWrap/>
            <w:vAlign w:val="center"/>
            <w:hideMark/>
          </w:tcPr>
          <w:p w14:paraId="7C9E4189" w14:textId="3D447CAC"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N107</w:t>
            </w:r>
          </w:p>
        </w:tc>
        <w:tc>
          <w:tcPr>
            <w:tcW w:w="204" w:type="pct"/>
            <w:vMerge/>
            <w:shd w:val="clear" w:color="auto" w:fill="auto"/>
            <w:vAlign w:val="center"/>
            <w:hideMark/>
          </w:tcPr>
          <w:p w14:paraId="1E408F47"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DC55596"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6711737"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3.1.10</w:t>
            </w:r>
          </w:p>
        </w:tc>
        <w:tc>
          <w:tcPr>
            <w:tcW w:w="1258" w:type="pct"/>
            <w:shd w:val="clear" w:color="auto" w:fill="auto"/>
            <w:noWrap/>
            <w:vAlign w:val="center"/>
            <w:hideMark/>
          </w:tcPr>
          <w:p w14:paraId="3B94438A"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投资后的评价管理</w:t>
            </w:r>
          </w:p>
        </w:tc>
        <w:tc>
          <w:tcPr>
            <w:tcW w:w="2478" w:type="pct"/>
            <w:shd w:val="clear" w:color="auto" w:fill="auto"/>
            <w:vAlign w:val="center"/>
            <w:hideMark/>
          </w:tcPr>
          <w:p w14:paraId="41EFE591"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DE61FF" w:rsidRPr="000D03B4" w14:paraId="60A3562B" w14:textId="77777777" w:rsidTr="00DE61FF">
        <w:trPr>
          <w:gridAfter w:val="1"/>
          <w:wAfter w:w="16" w:type="pct"/>
          <w:trHeight w:val="283"/>
        </w:trPr>
        <w:tc>
          <w:tcPr>
            <w:tcW w:w="242" w:type="pct"/>
            <w:shd w:val="clear" w:color="auto" w:fill="auto"/>
            <w:noWrap/>
            <w:vAlign w:val="center"/>
            <w:hideMark/>
          </w:tcPr>
          <w:p w14:paraId="53C3D9C1" w14:textId="22D29D9D"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108</w:t>
            </w:r>
          </w:p>
        </w:tc>
        <w:tc>
          <w:tcPr>
            <w:tcW w:w="204" w:type="pct"/>
            <w:vMerge/>
            <w:shd w:val="clear" w:color="auto" w:fill="auto"/>
            <w:vAlign w:val="center"/>
            <w:hideMark/>
          </w:tcPr>
          <w:p w14:paraId="72C98F74"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9913D4B"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3E92C28"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3.1.11</w:t>
            </w:r>
          </w:p>
        </w:tc>
        <w:tc>
          <w:tcPr>
            <w:tcW w:w="1258" w:type="pct"/>
            <w:shd w:val="clear" w:color="auto" w:fill="auto"/>
            <w:noWrap/>
            <w:vAlign w:val="center"/>
            <w:hideMark/>
          </w:tcPr>
          <w:p w14:paraId="734FC010"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资产管理</w:t>
            </w:r>
          </w:p>
        </w:tc>
        <w:tc>
          <w:tcPr>
            <w:tcW w:w="2478" w:type="pct"/>
            <w:shd w:val="clear" w:color="auto" w:fill="auto"/>
            <w:vAlign w:val="center"/>
            <w:hideMark/>
          </w:tcPr>
          <w:p w14:paraId="5588153B"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DE61FF" w:rsidRPr="000D03B4" w14:paraId="58685A36" w14:textId="77777777" w:rsidTr="00DE61FF">
        <w:trPr>
          <w:gridAfter w:val="1"/>
          <w:wAfter w:w="16" w:type="pct"/>
          <w:trHeight w:val="283"/>
        </w:trPr>
        <w:tc>
          <w:tcPr>
            <w:tcW w:w="242" w:type="pct"/>
            <w:shd w:val="clear" w:color="auto" w:fill="auto"/>
            <w:noWrap/>
            <w:vAlign w:val="center"/>
            <w:hideMark/>
          </w:tcPr>
          <w:p w14:paraId="752D9260" w14:textId="3CA3EF94"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109</w:t>
            </w:r>
          </w:p>
        </w:tc>
        <w:tc>
          <w:tcPr>
            <w:tcW w:w="204" w:type="pct"/>
            <w:vMerge/>
            <w:shd w:val="clear" w:color="auto" w:fill="auto"/>
            <w:vAlign w:val="center"/>
            <w:hideMark/>
          </w:tcPr>
          <w:p w14:paraId="14D6D197"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103342FC"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99D68B5"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3.1.12</w:t>
            </w:r>
          </w:p>
        </w:tc>
        <w:tc>
          <w:tcPr>
            <w:tcW w:w="1258" w:type="pct"/>
            <w:shd w:val="clear" w:color="auto" w:fill="auto"/>
            <w:noWrap/>
            <w:vAlign w:val="center"/>
            <w:hideMark/>
          </w:tcPr>
          <w:p w14:paraId="46C6B335"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人力资源管理咨询</w:t>
            </w:r>
          </w:p>
        </w:tc>
        <w:tc>
          <w:tcPr>
            <w:tcW w:w="2478" w:type="pct"/>
            <w:shd w:val="clear" w:color="auto" w:fill="auto"/>
            <w:vAlign w:val="center"/>
            <w:hideMark/>
          </w:tcPr>
          <w:p w14:paraId="4FD5CEB8"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DE61FF" w:rsidRPr="000D03B4" w14:paraId="41A93900" w14:textId="77777777" w:rsidTr="00DE61FF">
        <w:trPr>
          <w:gridAfter w:val="1"/>
          <w:wAfter w:w="16" w:type="pct"/>
          <w:trHeight w:val="283"/>
        </w:trPr>
        <w:tc>
          <w:tcPr>
            <w:tcW w:w="242" w:type="pct"/>
            <w:shd w:val="clear" w:color="auto" w:fill="auto"/>
            <w:noWrap/>
            <w:vAlign w:val="center"/>
            <w:hideMark/>
          </w:tcPr>
          <w:p w14:paraId="36599CA3" w14:textId="48D4AF4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lastRenderedPageBreak/>
              <w:t>110</w:t>
            </w:r>
          </w:p>
        </w:tc>
        <w:tc>
          <w:tcPr>
            <w:tcW w:w="204" w:type="pct"/>
            <w:vMerge/>
            <w:shd w:val="clear" w:color="auto" w:fill="auto"/>
            <w:vAlign w:val="center"/>
            <w:hideMark/>
          </w:tcPr>
          <w:p w14:paraId="3A26A0B0"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76EF526E"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63A45A3"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3.1.13</w:t>
            </w:r>
          </w:p>
        </w:tc>
        <w:tc>
          <w:tcPr>
            <w:tcW w:w="1258" w:type="pct"/>
            <w:shd w:val="clear" w:color="auto" w:fill="auto"/>
            <w:noWrap/>
            <w:vAlign w:val="center"/>
            <w:hideMark/>
          </w:tcPr>
          <w:p w14:paraId="148E6BD7"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激励约束机制设计及评价</w:t>
            </w:r>
          </w:p>
        </w:tc>
        <w:tc>
          <w:tcPr>
            <w:tcW w:w="2478" w:type="pct"/>
            <w:shd w:val="clear" w:color="auto" w:fill="auto"/>
            <w:vAlign w:val="center"/>
            <w:hideMark/>
          </w:tcPr>
          <w:p w14:paraId="36CBC09E"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DE61FF" w:rsidRPr="000D03B4" w14:paraId="232ACC68" w14:textId="77777777" w:rsidTr="00DE61FF">
        <w:trPr>
          <w:gridAfter w:val="1"/>
          <w:wAfter w:w="16" w:type="pct"/>
          <w:trHeight w:val="283"/>
        </w:trPr>
        <w:tc>
          <w:tcPr>
            <w:tcW w:w="242" w:type="pct"/>
            <w:shd w:val="clear" w:color="auto" w:fill="auto"/>
            <w:noWrap/>
            <w:vAlign w:val="center"/>
            <w:hideMark/>
          </w:tcPr>
          <w:p w14:paraId="13FC9968" w14:textId="22CB4E7F"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111</w:t>
            </w:r>
          </w:p>
        </w:tc>
        <w:tc>
          <w:tcPr>
            <w:tcW w:w="204" w:type="pct"/>
            <w:vMerge/>
            <w:shd w:val="clear" w:color="auto" w:fill="auto"/>
            <w:vAlign w:val="center"/>
            <w:hideMark/>
          </w:tcPr>
          <w:p w14:paraId="7EC6C143"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9F12A64"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3F40C55"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3.1.14</w:t>
            </w:r>
          </w:p>
        </w:tc>
        <w:tc>
          <w:tcPr>
            <w:tcW w:w="1258" w:type="pct"/>
            <w:shd w:val="clear" w:color="auto" w:fill="auto"/>
            <w:noWrap/>
            <w:vAlign w:val="center"/>
            <w:hideMark/>
          </w:tcPr>
          <w:p w14:paraId="6489CFB9"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流程重构</w:t>
            </w:r>
            <w:r w:rsidRPr="000D03B4">
              <w:rPr>
                <w:rFonts w:eastAsiaTheme="majorEastAsia"/>
                <w:kern w:val="0"/>
                <w:sz w:val="18"/>
                <w:szCs w:val="18"/>
              </w:rPr>
              <w:t>/</w:t>
            </w:r>
            <w:r w:rsidRPr="000D03B4">
              <w:rPr>
                <w:rFonts w:eastAsiaTheme="majorEastAsia"/>
                <w:kern w:val="0"/>
                <w:sz w:val="18"/>
                <w:szCs w:val="18"/>
              </w:rPr>
              <w:t>重整</w:t>
            </w:r>
          </w:p>
        </w:tc>
        <w:tc>
          <w:tcPr>
            <w:tcW w:w="2478" w:type="pct"/>
            <w:shd w:val="clear" w:color="auto" w:fill="auto"/>
            <w:vAlign w:val="center"/>
            <w:hideMark/>
          </w:tcPr>
          <w:p w14:paraId="15F2EAEA"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DE61FF" w:rsidRPr="000D03B4" w14:paraId="2D312270" w14:textId="77777777" w:rsidTr="00DE61FF">
        <w:trPr>
          <w:gridAfter w:val="1"/>
          <w:wAfter w:w="16" w:type="pct"/>
          <w:trHeight w:val="283"/>
        </w:trPr>
        <w:tc>
          <w:tcPr>
            <w:tcW w:w="242" w:type="pct"/>
            <w:shd w:val="clear" w:color="auto" w:fill="auto"/>
            <w:noWrap/>
            <w:vAlign w:val="center"/>
            <w:hideMark/>
          </w:tcPr>
          <w:p w14:paraId="3BF06A81" w14:textId="7ACEA735"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112</w:t>
            </w:r>
          </w:p>
        </w:tc>
        <w:tc>
          <w:tcPr>
            <w:tcW w:w="204" w:type="pct"/>
            <w:vMerge/>
            <w:shd w:val="clear" w:color="auto" w:fill="auto"/>
            <w:vAlign w:val="center"/>
            <w:hideMark/>
          </w:tcPr>
          <w:p w14:paraId="5DD4BC0A"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53EB415"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18F6B6A"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3.1.15</w:t>
            </w:r>
          </w:p>
        </w:tc>
        <w:tc>
          <w:tcPr>
            <w:tcW w:w="1258" w:type="pct"/>
            <w:shd w:val="clear" w:color="auto" w:fill="auto"/>
            <w:noWrap/>
            <w:vAlign w:val="center"/>
            <w:hideMark/>
          </w:tcPr>
          <w:p w14:paraId="4618768F"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风险管理</w:t>
            </w:r>
          </w:p>
        </w:tc>
        <w:tc>
          <w:tcPr>
            <w:tcW w:w="2478" w:type="pct"/>
            <w:shd w:val="clear" w:color="auto" w:fill="auto"/>
            <w:vAlign w:val="center"/>
            <w:hideMark/>
          </w:tcPr>
          <w:p w14:paraId="33891681"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DE61FF" w:rsidRPr="000D03B4" w14:paraId="2B2D9EB2" w14:textId="77777777" w:rsidTr="00DE61FF">
        <w:trPr>
          <w:gridAfter w:val="1"/>
          <w:wAfter w:w="16" w:type="pct"/>
          <w:trHeight w:val="283"/>
        </w:trPr>
        <w:tc>
          <w:tcPr>
            <w:tcW w:w="242" w:type="pct"/>
            <w:shd w:val="clear" w:color="auto" w:fill="auto"/>
            <w:noWrap/>
            <w:vAlign w:val="center"/>
            <w:hideMark/>
          </w:tcPr>
          <w:p w14:paraId="5102F8C8" w14:textId="0C66B200"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113</w:t>
            </w:r>
          </w:p>
        </w:tc>
        <w:tc>
          <w:tcPr>
            <w:tcW w:w="204" w:type="pct"/>
            <w:vMerge/>
            <w:shd w:val="clear" w:color="auto" w:fill="auto"/>
            <w:vAlign w:val="center"/>
            <w:hideMark/>
          </w:tcPr>
          <w:p w14:paraId="2794CF57"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12E2F82D"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8579956"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3.1.16</w:t>
            </w:r>
          </w:p>
        </w:tc>
        <w:tc>
          <w:tcPr>
            <w:tcW w:w="1258" w:type="pct"/>
            <w:shd w:val="clear" w:color="auto" w:fill="auto"/>
            <w:noWrap/>
            <w:vAlign w:val="center"/>
            <w:hideMark/>
          </w:tcPr>
          <w:p w14:paraId="43A23A8E"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价值管理</w:t>
            </w:r>
          </w:p>
        </w:tc>
        <w:tc>
          <w:tcPr>
            <w:tcW w:w="2478" w:type="pct"/>
            <w:shd w:val="clear" w:color="auto" w:fill="auto"/>
            <w:vAlign w:val="center"/>
            <w:hideMark/>
          </w:tcPr>
          <w:p w14:paraId="41AD29E9"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464964" w:rsidRPr="000D03B4" w14:paraId="77D7A6AC" w14:textId="77777777" w:rsidTr="00DE61FF">
        <w:trPr>
          <w:gridAfter w:val="1"/>
          <w:wAfter w:w="16" w:type="pct"/>
          <w:trHeight w:val="283"/>
        </w:trPr>
        <w:tc>
          <w:tcPr>
            <w:tcW w:w="242" w:type="pct"/>
            <w:shd w:val="clear" w:color="auto" w:fill="auto"/>
            <w:noWrap/>
            <w:vAlign w:val="center"/>
            <w:hideMark/>
          </w:tcPr>
          <w:p w14:paraId="102DDE58" w14:textId="11C013F3"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114</w:t>
            </w:r>
          </w:p>
        </w:tc>
        <w:tc>
          <w:tcPr>
            <w:tcW w:w="204" w:type="pct"/>
            <w:vMerge/>
            <w:shd w:val="clear" w:color="auto" w:fill="auto"/>
            <w:vAlign w:val="center"/>
            <w:hideMark/>
          </w:tcPr>
          <w:p w14:paraId="00C14DD4"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12D36BCD"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3DB4A46"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3.1.17</w:t>
            </w:r>
          </w:p>
        </w:tc>
        <w:tc>
          <w:tcPr>
            <w:tcW w:w="1258" w:type="pct"/>
            <w:shd w:val="clear" w:color="auto" w:fill="auto"/>
            <w:noWrap/>
            <w:vAlign w:val="center"/>
            <w:hideMark/>
          </w:tcPr>
          <w:p w14:paraId="1EBD4A9E"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战略管理</w:t>
            </w:r>
          </w:p>
        </w:tc>
        <w:tc>
          <w:tcPr>
            <w:tcW w:w="2478" w:type="pct"/>
            <w:shd w:val="clear" w:color="auto" w:fill="auto"/>
            <w:vAlign w:val="center"/>
            <w:hideMark/>
          </w:tcPr>
          <w:p w14:paraId="5EE44FD6"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464964" w:rsidRPr="000D03B4" w14:paraId="2E712A4C" w14:textId="77777777" w:rsidTr="00DE61FF">
        <w:trPr>
          <w:gridAfter w:val="1"/>
          <w:wAfter w:w="16" w:type="pct"/>
          <w:trHeight w:val="283"/>
        </w:trPr>
        <w:tc>
          <w:tcPr>
            <w:tcW w:w="242" w:type="pct"/>
            <w:shd w:val="clear" w:color="auto" w:fill="auto"/>
            <w:noWrap/>
            <w:vAlign w:val="center"/>
            <w:hideMark/>
          </w:tcPr>
          <w:p w14:paraId="2721FDD6" w14:textId="7113F9C4"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115</w:t>
            </w:r>
          </w:p>
        </w:tc>
        <w:tc>
          <w:tcPr>
            <w:tcW w:w="204" w:type="pct"/>
            <w:vMerge/>
            <w:shd w:val="clear" w:color="auto" w:fill="auto"/>
            <w:vAlign w:val="center"/>
            <w:hideMark/>
          </w:tcPr>
          <w:p w14:paraId="36489269"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19259532"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1D96AD7"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3.1.18</w:t>
            </w:r>
          </w:p>
        </w:tc>
        <w:tc>
          <w:tcPr>
            <w:tcW w:w="1258" w:type="pct"/>
            <w:shd w:val="clear" w:color="auto" w:fill="auto"/>
            <w:noWrap/>
            <w:vAlign w:val="center"/>
            <w:hideMark/>
          </w:tcPr>
          <w:p w14:paraId="1CE4A57B"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并购重组的交易结构、路径、方案等咨询业务</w:t>
            </w:r>
          </w:p>
        </w:tc>
        <w:tc>
          <w:tcPr>
            <w:tcW w:w="2478" w:type="pct"/>
            <w:shd w:val="clear" w:color="auto" w:fill="auto"/>
            <w:vAlign w:val="center"/>
            <w:hideMark/>
          </w:tcPr>
          <w:p w14:paraId="0AAD1E54"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464964" w:rsidRPr="000D03B4" w14:paraId="59720A88" w14:textId="77777777" w:rsidTr="00DE61FF">
        <w:trPr>
          <w:gridAfter w:val="1"/>
          <w:wAfter w:w="16" w:type="pct"/>
          <w:trHeight w:val="283"/>
        </w:trPr>
        <w:tc>
          <w:tcPr>
            <w:tcW w:w="242" w:type="pct"/>
            <w:shd w:val="clear" w:color="auto" w:fill="auto"/>
            <w:noWrap/>
            <w:vAlign w:val="center"/>
            <w:hideMark/>
          </w:tcPr>
          <w:p w14:paraId="46707EC6" w14:textId="3E0EE326"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116</w:t>
            </w:r>
          </w:p>
        </w:tc>
        <w:tc>
          <w:tcPr>
            <w:tcW w:w="204" w:type="pct"/>
            <w:vMerge/>
            <w:shd w:val="clear" w:color="auto" w:fill="auto"/>
            <w:vAlign w:val="center"/>
            <w:hideMark/>
          </w:tcPr>
          <w:p w14:paraId="2793CC27"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6C0BBF05"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19AC0E44"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3.1.19</w:t>
            </w:r>
          </w:p>
        </w:tc>
        <w:tc>
          <w:tcPr>
            <w:tcW w:w="1258" w:type="pct"/>
            <w:shd w:val="clear" w:color="auto" w:fill="auto"/>
            <w:noWrap/>
            <w:vAlign w:val="center"/>
            <w:hideMark/>
          </w:tcPr>
          <w:p w14:paraId="78AC0C4F"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并购重组的税收问题咨询</w:t>
            </w:r>
          </w:p>
        </w:tc>
        <w:tc>
          <w:tcPr>
            <w:tcW w:w="2478" w:type="pct"/>
            <w:shd w:val="clear" w:color="auto" w:fill="auto"/>
            <w:vAlign w:val="center"/>
            <w:hideMark/>
          </w:tcPr>
          <w:p w14:paraId="7B612915"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464964" w:rsidRPr="000D03B4" w14:paraId="6090621D" w14:textId="77777777" w:rsidTr="00DE61FF">
        <w:trPr>
          <w:gridAfter w:val="1"/>
          <w:wAfter w:w="16" w:type="pct"/>
          <w:trHeight w:val="283"/>
        </w:trPr>
        <w:tc>
          <w:tcPr>
            <w:tcW w:w="242" w:type="pct"/>
            <w:shd w:val="clear" w:color="auto" w:fill="auto"/>
            <w:noWrap/>
            <w:vAlign w:val="center"/>
            <w:hideMark/>
          </w:tcPr>
          <w:p w14:paraId="070ADFA6" w14:textId="6B45E823"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117</w:t>
            </w:r>
          </w:p>
        </w:tc>
        <w:tc>
          <w:tcPr>
            <w:tcW w:w="204" w:type="pct"/>
            <w:vMerge/>
            <w:shd w:val="clear" w:color="auto" w:fill="auto"/>
            <w:vAlign w:val="center"/>
            <w:hideMark/>
          </w:tcPr>
          <w:p w14:paraId="788202D6"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EB3CC52"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42B233F0"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3.1.20</w:t>
            </w:r>
          </w:p>
        </w:tc>
        <w:tc>
          <w:tcPr>
            <w:tcW w:w="1258" w:type="pct"/>
            <w:shd w:val="clear" w:color="auto" w:fill="auto"/>
            <w:noWrap/>
            <w:vAlign w:val="center"/>
            <w:hideMark/>
          </w:tcPr>
          <w:p w14:paraId="497F6956"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破产顾问服务、托管人与接管人服务</w:t>
            </w:r>
          </w:p>
        </w:tc>
        <w:tc>
          <w:tcPr>
            <w:tcW w:w="2478" w:type="pct"/>
            <w:shd w:val="clear" w:color="auto" w:fill="auto"/>
            <w:vAlign w:val="center"/>
            <w:hideMark/>
          </w:tcPr>
          <w:p w14:paraId="37F8D857"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464964" w:rsidRPr="000D03B4" w14:paraId="06EA5B21" w14:textId="77777777" w:rsidTr="00DE61FF">
        <w:trPr>
          <w:gridAfter w:val="1"/>
          <w:wAfter w:w="16" w:type="pct"/>
          <w:trHeight w:val="283"/>
        </w:trPr>
        <w:tc>
          <w:tcPr>
            <w:tcW w:w="242" w:type="pct"/>
            <w:shd w:val="clear" w:color="auto" w:fill="auto"/>
            <w:noWrap/>
            <w:vAlign w:val="center"/>
            <w:hideMark/>
          </w:tcPr>
          <w:p w14:paraId="1E10CA94" w14:textId="3AF8F701"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118</w:t>
            </w:r>
          </w:p>
        </w:tc>
        <w:tc>
          <w:tcPr>
            <w:tcW w:w="204" w:type="pct"/>
            <w:vMerge/>
            <w:shd w:val="clear" w:color="auto" w:fill="auto"/>
            <w:vAlign w:val="center"/>
            <w:hideMark/>
          </w:tcPr>
          <w:p w14:paraId="5CEDF6DF"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024B49C"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B319838"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3.1.21</w:t>
            </w:r>
          </w:p>
        </w:tc>
        <w:tc>
          <w:tcPr>
            <w:tcW w:w="1258" w:type="pct"/>
            <w:shd w:val="clear" w:color="auto" w:fill="auto"/>
            <w:noWrap/>
            <w:vAlign w:val="center"/>
            <w:hideMark/>
          </w:tcPr>
          <w:p w14:paraId="08A96421"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破产诉讼与赔偿管理咨询</w:t>
            </w:r>
          </w:p>
        </w:tc>
        <w:tc>
          <w:tcPr>
            <w:tcW w:w="2478" w:type="pct"/>
            <w:shd w:val="clear" w:color="auto" w:fill="auto"/>
            <w:vAlign w:val="center"/>
            <w:hideMark/>
          </w:tcPr>
          <w:p w14:paraId="6572F9E9"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464964" w:rsidRPr="000D03B4" w14:paraId="22E496A3" w14:textId="77777777" w:rsidTr="00DE61FF">
        <w:trPr>
          <w:gridAfter w:val="1"/>
          <w:wAfter w:w="16" w:type="pct"/>
          <w:trHeight w:val="283"/>
        </w:trPr>
        <w:tc>
          <w:tcPr>
            <w:tcW w:w="242" w:type="pct"/>
            <w:shd w:val="clear" w:color="auto" w:fill="auto"/>
            <w:noWrap/>
            <w:vAlign w:val="center"/>
            <w:hideMark/>
          </w:tcPr>
          <w:p w14:paraId="67B6C1A6" w14:textId="76ADFE48"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119</w:t>
            </w:r>
          </w:p>
        </w:tc>
        <w:tc>
          <w:tcPr>
            <w:tcW w:w="204" w:type="pct"/>
            <w:vMerge/>
            <w:shd w:val="clear" w:color="auto" w:fill="auto"/>
            <w:vAlign w:val="center"/>
            <w:hideMark/>
          </w:tcPr>
          <w:p w14:paraId="6FB5E610"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047DD9D"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00D95CB"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3.1.22</w:t>
            </w:r>
          </w:p>
        </w:tc>
        <w:tc>
          <w:tcPr>
            <w:tcW w:w="1258" w:type="pct"/>
            <w:shd w:val="clear" w:color="auto" w:fill="auto"/>
            <w:noWrap/>
            <w:vAlign w:val="center"/>
            <w:hideMark/>
          </w:tcPr>
          <w:p w14:paraId="34386AB5"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企业争端分析与调查</w:t>
            </w:r>
          </w:p>
        </w:tc>
        <w:tc>
          <w:tcPr>
            <w:tcW w:w="2478" w:type="pct"/>
            <w:shd w:val="clear" w:color="auto" w:fill="auto"/>
            <w:vAlign w:val="center"/>
            <w:hideMark/>
          </w:tcPr>
          <w:p w14:paraId="7362730C"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464964" w:rsidRPr="000D03B4" w14:paraId="603DDFC5" w14:textId="77777777" w:rsidTr="00DE61FF">
        <w:trPr>
          <w:gridAfter w:val="1"/>
          <w:wAfter w:w="16" w:type="pct"/>
          <w:trHeight w:val="283"/>
        </w:trPr>
        <w:tc>
          <w:tcPr>
            <w:tcW w:w="242" w:type="pct"/>
            <w:shd w:val="clear" w:color="auto" w:fill="auto"/>
            <w:noWrap/>
            <w:vAlign w:val="center"/>
            <w:hideMark/>
          </w:tcPr>
          <w:p w14:paraId="3673A7AF" w14:textId="47489D1C"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120</w:t>
            </w:r>
          </w:p>
        </w:tc>
        <w:tc>
          <w:tcPr>
            <w:tcW w:w="204" w:type="pct"/>
            <w:vMerge w:val="restart"/>
            <w:shd w:val="clear" w:color="auto" w:fill="auto"/>
            <w:noWrap/>
            <w:vAlign w:val="center"/>
            <w:hideMark/>
          </w:tcPr>
          <w:p w14:paraId="7ED575B9"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3.2</w:t>
            </w:r>
          </w:p>
        </w:tc>
        <w:tc>
          <w:tcPr>
            <w:tcW w:w="449" w:type="pct"/>
            <w:vMerge w:val="restart"/>
            <w:shd w:val="clear" w:color="auto" w:fill="auto"/>
            <w:noWrap/>
            <w:vAlign w:val="center"/>
            <w:hideMark/>
          </w:tcPr>
          <w:p w14:paraId="5E123563"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其他</w:t>
            </w:r>
          </w:p>
        </w:tc>
        <w:tc>
          <w:tcPr>
            <w:tcW w:w="353" w:type="pct"/>
            <w:shd w:val="clear" w:color="auto" w:fill="auto"/>
            <w:noWrap/>
            <w:vAlign w:val="center"/>
            <w:hideMark/>
          </w:tcPr>
          <w:p w14:paraId="7B97087A"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3.2.1</w:t>
            </w:r>
          </w:p>
        </w:tc>
        <w:tc>
          <w:tcPr>
            <w:tcW w:w="1258" w:type="pct"/>
            <w:shd w:val="clear" w:color="auto" w:fill="auto"/>
            <w:noWrap/>
            <w:vAlign w:val="center"/>
            <w:hideMark/>
          </w:tcPr>
          <w:p w14:paraId="6C2D37A3"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质量信用评估</w:t>
            </w:r>
          </w:p>
        </w:tc>
        <w:tc>
          <w:tcPr>
            <w:tcW w:w="2478" w:type="pct"/>
            <w:shd w:val="clear" w:color="auto" w:fill="auto"/>
            <w:vAlign w:val="center"/>
            <w:hideMark/>
          </w:tcPr>
          <w:p w14:paraId="1DBC6A11"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《国家质量监督检验检疫总局关于加强企业质量信用评估监管工作的意见》（国质检质〔</w:t>
            </w:r>
            <w:r w:rsidRPr="000D03B4">
              <w:rPr>
                <w:rFonts w:eastAsiaTheme="majorEastAsia"/>
                <w:kern w:val="0"/>
                <w:sz w:val="18"/>
                <w:szCs w:val="18"/>
              </w:rPr>
              <w:t>2006</w:t>
            </w:r>
            <w:r w:rsidRPr="000D03B4">
              <w:rPr>
                <w:rFonts w:eastAsiaTheme="majorEastAsia"/>
                <w:kern w:val="0"/>
                <w:sz w:val="18"/>
                <w:szCs w:val="18"/>
              </w:rPr>
              <w:t>〕</w:t>
            </w:r>
            <w:r w:rsidRPr="000D03B4">
              <w:rPr>
                <w:rFonts w:eastAsiaTheme="majorEastAsia"/>
                <w:kern w:val="0"/>
                <w:sz w:val="18"/>
                <w:szCs w:val="18"/>
              </w:rPr>
              <w:t>464</w:t>
            </w:r>
            <w:r w:rsidRPr="000D03B4">
              <w:rPr>
                <w:rFonts w:eastAsiaTheme="majorEastAsia"/>
                <w:kern w:val="0"/>
                <w:sz w:val="18"/>
                <w:szCs w:val="18"/>
              </w:rPr>
              <w:t>号）</w:t>
            </w:r>
          </w:p>
        </w:tc>
      </w:tr>
      <w:tr w:rsidR="00464964" w:rsidRPr="000D03B4" w14:paraId="5E36512D" w14:textId="77777777" w:rsidTr="00DE61FF">
        <w:trPr>
          <w:gridAfter w:val="1"/>
          <w:wAfter w:w="16" w:type="pct"/>
          <w:trHeight w:val="283"/>
        </w:trPr>
        <w:tc>
          <w:tcPr>
            <w:tcW w:w="242" w:type="pct"/>
            <w:shd w:val="clear" w:color="auto" w:fill="auto"/>
            <w:noWrap/>
            <w:vAlign w:val="center"/>
            <w:hideMark/>
          </w:tcPr>
          <w:p w14:paraId="40BE815A" w14:textId="722794A4"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121</w:t>
            </w:r>
          </w:p>
        </w:tc>
        <w:tc>
          <w:tcPr>
            <w:tcW w:w="204" w:type="pct"/>
            <w:vMerge/>
            <w:shd w:val="clear" w:color="auto" w:fill="auto"/>
            <w:vAlign w:val="center"/>
            <w:hideMark/>
          </w:tcPr>
          <w:p w14:paraId="15276D60"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249BCB60"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07D5F101"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3.2.2</w:t>
            </w:r>
          </w:p>
        </w:tc>
        <w:tc>
          <w:tcPr>
            <w:tcW w:w="1258" w:type="pct"/>
            <w:shd w:val="clear" w:color="auto" w:fill="auto"/>
            <w:noWrap/>
            <w:vAlign w:val="center"/>
            <w:hideMark/>
          </w:tcPr>
          <w:p w14:paraId="358B5FA6"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社会组织评估</w:t>
            </w:r>
          </w:p>
        </w:tc>
        <w:tc>
          <w:tcPr>
            <w:tcW w:w="2478" w:type="pct"/>
            <w:shd w:val="clear" w:color="auto" w:fill="auto"/>
            <w:vAlign w:val="center"/>
            <w:hideMark/>
          </w:tcPr>
          <w:p w14:paraId="3EE12431"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《社会组织评估管理办法》（民政部令第</w:t>
            </w:r>
            <w:r w:rsidRPr="000D03B4">
              <w:rPr>
                <w:rFonts w:eastAsiaTheme="majorEastAsia"/>
                <w:kern w:val="0"/>
                <w:sz w:val="18"/>
                <w:szCs w:val="18"/>
              </w:rPr>
              <w:t>39</w:t>
            </w:r>
            <w:r w:rsidRPr="000D03B4">
              <w:rPr>
                <w:rFonts w:eastAsiaTheme="majorEastAsia"/>
                <w:kern w:val="0"/>
                <w:sz w:val="18"/>
                <w:szCs w:val="18"/>
              </w:rPr>
              <w:t>号）</w:t>
            </w:r>
          </w:p>
        </w:tc>
      </w:tr>
      <w:tr w:rsidR="00464964" w:rsidRPr="000D03B4" w14:paraId="32D80D4D" w14:textId="77777777" w:rsidTr="00DE61FF">
        <w:trPr>
          <w:gridAfter w:val="1"/>
          <w:wAfter w:w="16" w:type="pct"/>
          <w:trHeight w:val="283"/>
        </w:trPr>
        <w:tc>
          <w:tcPr>
            <w:tcW w:w="242" w:type="pct"/>
            <w:shd w:val="clear" w:color="auto" w:fill="auto"/>
            <w:noWrap/>
            <w:vAlign w:val="center"/>
            <w:hideMark/>
          </w:tcPr>
          <w:p w14:paraId="64D52255" w14:textId="78900AF3"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122</w:t>
            </w:r>
          </w:p>
        </w:tc>
        <w:tc>
          <w:tcPr>
            <w:tcW w:w="204" w:type="pct"/>
            <w:vMerge/>
            <w:shd w:val="clear" w:color="auto" w:fill="auto"/>
            <w:vAlign w:val="center"/>
            <w:hideMark/>
          </w:tcPr>
          <w:p w14:paraId="25B8F708"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43E9B46A"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77BB1D6C"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3.2.3</w:t>
            </w:r>
          </w:p>
        </w:tc>
        <w:tc>
          <w:tcPr>
            <w:tcW w:w="1258" w:type="pct"/>
            <w:shd w:val="clear" w:color="auto" w:fill="auto"/>
            <w:noWrap/>
            <w:vAlign w:val="center"/>
            <w:hideMark/>
          </w:tcPr>
          <w:p w14:paraId="6064AD0C"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预算绩效管理咨询</w:t>
            </w:r>
          </w:p>
        </w:tc>
        <w:tc>
          <w:tcPr>
            <w:tcW w:w="2478" w:type="pct"/>
            <w:shd w:val="clear" w:color="auto" w:fill="auto"/>
            <w:vAlign w:val="center"/>
            <w:hideMark/>
          </w:tcPr>
          <w:p w14:paraId="114F8618"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《关于推进预算绩效管理的指导意见》（财预〔</w:t>
            </w:r>
            <w:r w:rsidRPr="000D03B4">
              <w:rPr>
                <w:rFonts w:eastAsiaTheme="majorEastAsia"/>
                <w:kern w:val="0"/>
                <w:sz w:val="18"/>
                <w:szCs w:val="18"/>
              </w:rPr>
              <w:t>2011</w:t>
            </w:r>
            <w:r w:rsidRPr="000D03B4">
              <w:rPr>
                <w:rFonts w:eastAsiaTheme="majorEastAsia"/>
                <w:kern w:val="0"/>
                <w:sz w:val="18"/>
                <w:szCs w:val="18"/>
              </w:rPr>
              <w:t>〕</w:t>
            </w:r>
            <w:r w:rsidRPr="000D03B4">
              <w:rPr>
                <w:rFonts w:eastAsiaTheme="majorEastAsia"/>
                <w:kern w:val="0"/>
                <w:sz w:val="18"/>
                <w:szCs w:val="18"/>
              </w:rPr>
              <w:t>416</w:t>
            </w:r>
            <w:r w:rsidRPr="000D03B4">
              <w:rPr>
                <w:rFonts w:eastAsiaTheme="majorEastAsia"/>
                <w:kern w:val="0"/>
                <w:sz w:val="18"/>
                <w:szCs w:val="18"/>
              </w:rPr>
              <w:t>号）</w:t>
            </w:r>
          </w:p>
        </w:tc>
      </w:tr>
      <w:tr w:rsidR="00464964" w:rsidRPr="000D03B4" w14:paraId="70E43450" w14:textId="77777777" w:rsidTr="00DE61FF">
        <w:trPr>
          <w:gridAfter w:val="1"/>
          <w:wAfter w:w="16" w:type="pct"/>
          <w:trHeight w:val="283"/>
        </w:trPr>
        <w:tc>
          <w:tcPr>
            <w:tcW w:w="242" w:type="pct"/>
            <w:shd w:val="clear" w:color="auto" w:fill="auto"/>
            <w:noWrap/>
            <w:vAlign w:val="center"/>
            <w:hideMark/>
          </w:tcPr>
          <w:p w14:paraId="258320DC" w14:textId="7B9A6D24"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123</w:t>
            </w:r>
          </w:p>
        </w:tc>
        <w:tc>
          <w:tcPr>
            <w:tcW w:w="204" w:type="pct"/>
            <w:vMerge/>
            <w:shd w:val="clear" w:color="auto" w:fill="auto"/>
            <w:vAlign w:val="center"/>
            <w:hideMark/>
          </w:tcPr>
          <w:p w14:paraId="68161248"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31C8369D"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68E3F26F"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3.2.4</w:t>
            </w:r>
          </w:p>
        </w:tc>
        <w:tc>
          <w:tcPr>
            <w:tcW w:w="1258" w:type="pct"/>
            <w:shd w:val="clear" w:color="auto" w:fill="auto"/>
            <w:noWrap/>
            <w:vAlign w:val="center"/>
            <w:hideMark/>
          </w:tcPr>
          <w:p w14:paraId="0BD87E85"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为农村集体经济提供咨询服务</w:t>
            </w:r>
          </w:p>
        </w:tc>
        <w:tc>
          <w:tcPr>
            <w:tcW w:w="2478" w:type="pct"/>
            <w:shd w:val="clear" w:color="auto" w:fill="auto"/>
            <w:vAlign w:val="center"/>
            <w:hideMark/>
          </w:tcPr>
          <w:p w14:paraId="0B7A60E7"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464964" w:rsidRPr="000D03B4" w14:paraId="57FA121E" w14:textId="77777777" w:rsidTr="00DE61FF">
        <w:trPr>
          <w:gridAfter w:val="1"/>
          <w:wAfter w:w="16" w:type="pct"/>
          <w:trHeight w:val="283"/>
        </w:trPr>
        <w:tc>
          <w:tcPr>
            <w:tcW w:w="242" w:type="pct"/>
            <w:shd w:val="clear" w:color="auto" w:fill="auto"/>
            <w:noWrap/>
            <w:vAlign w:val="center"/>
            <w:hideMark/>
          </w:tcPr>
          <w:p w14:paraId="7DB7DC51" w14:textId="12CD05D3"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124</w:t>
            </w:r>
          </w:p>
        </w:tc>
        <w:tc>
          <w:tcPr>
            <w:tcW w:w="204" w:type="pct"/>
            <w:vMerge/>
            <w:shd w:val="clear" w:color="auto" w:fill="auto"/>
            <w:vAlign w:val="center"/>
            <w:hideMark/>
          </w:tcPr>
          <w:p w14:paraId="441B326D"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626A5E4E"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25B0C6F5"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3.2.5</w:t>
            </w:r>
          </w:p>
        </w:tc>
        <w:tc>
          <w:tcPr>
            <w:tcW w:w="1258" w:type="pct"/>
            <w:shd w:val="clear" w:color="auto" w:fill="auto"/>
            <w:noWrap/>
            <w:vAlign w:val="center"/>
            <w:hideMark/>
          </w:tcPr>
          <w:p w14:paraId="09CD58B5"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工程造价咨询业务</w:t>
            </w:r>
          </w:p>
        </w:tc>
        <w:tc>
          <w:tcPr>
            <w:tcW w:w="2478" w:type="pct"/>
            <w:shd w:val="clear" w:color="auto" w:fill="auto"/>
            <w:vAlign w:val="center"/>
            <w:hideMark/>
          </w:tcPr>
          <w:p w14:paraId="25D0D7F8"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464964" w:rsidRPr="000D03B4" w14:paraId="387B614E" w14:textId="77777777" w:rsidTr="00DE61FF">
        <w:trPr>
          <w:gridAfter w:val="1"/>
          <w:wAfter w:w="16" w:type="pct"/>
          <w:trHeight w:val="283"/>
        </w:trPr>
        <w:tc>
          <w:tcPr>
            <w:tcW w:w="242" w:type="pct"/>
            <w:shd w:val="clear" w:color="auto" w:fill="auto"/>
            <w:noWrap/>
            <w:vAlign w:val="center"/>
            <w:hideMark/>
          </w:tcPr>
          <w:p w14:paraId="2F95FE9D" w14:textId="39DE0DEC"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125</w:t>
            </w:r>
          </w:p>
        </w:tc>
        <w:tc>
          <w:tcPr>
            <w:tcW w:w="204" w:type="pct"/>
            <w:vMerge/>
            <w:shd w:val="clear" w:color="auto" w:fill="auto"/>
            <w:vAlign w:val="center"/>
            <w:hideMark/>
          </w:tcPr>
          <w:p w14:paraId="753DFB98"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65E9DCB8"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57C56B44"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3.2.6</w:t>
            </w:r>
          </w:p>
        </w:tc>
        <w:tc>
          <w:tcPr>
            <w:tcW w:w="1258" w:type="pct"/>
            <w:shd w:val="clear" w:color="auto" w:fill="auto"/>
            <w:noWrap/>
            <w:vAlign w:val="center"/>
            <w:hideMark/>
          </w:tcPr>
          <w:p w14:paraId="4BB0E32C"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家庭资产配置服务</w:t>
            </w:r>
          </w:p>
        </w:tc>
        <w:tc>
          <w:tcPr>
            <w:tcW w:w="2478" w:type="pct"/>
            <w:shd w:val="clear" w:color="auto" w:fill="auto"/>
            <w:vAlign w:val="center"/>
            <w:hideMark/>
          </w:tcPr>
          <w:p w14:paraId="5C07F629"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r w:rsidR="00070967" w:rsidRPr="000D03B4" w14:paraId="595D7853" w14:textId="77777777" w:rsidTr="00DE61FF">
        <w:trPr>
          <w:gridAfter w:val="1"/>
          <w:wAfter w:w="16" w:type="pct"/>
          <w:trHeight w:val="283"/>
        </w:trPr>
        <w:tc>
          <w:tcPr>
            <w:tcW w:w="242" w:type="pct"/>
            <w:shd w:val="clear" w:color="auto" w:fill="auto"/>
            <w:noWrap/>
            <w:vAlign w:val="center"/>
            <w:hideMark/>
          </w:tcPr>
          <w:p w14:paraId="7050C214" w14:textId="7D716DF3"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126</w:t>
            </w:r>
          </w:p>
        </w:tc>
        <w:tc>
          <w:tcPr>
            <w:tcW w:w="204" w:type="pct"/>
            <w:vMerge/>
            <w:shd w:val="clear" w:color="auto" w:fill="auto"/>
            <w:vAlign w:val="center"/>
            <w:hideMark/>
          </w:tcPr>
          <w:p w14:paraId="592C07A4" w14:textId="77777777" w:rsidR="00070967" w:rsidRPr="000D03B4" w:rsidRDefault="00070967" w:rsidP="00A745DB">
            <w:pPr>
              <w:widowControl/>
              <w:adjustRightInd w:val="0"/>
              <w:snapToGrid w:val="0"/>
              <w:jc w:val="center"/>
              <w:rPr>
                <w:rFonts w:eastAsiaTheme="majorEastAsia"/>
                <w:kern w:val="0"/>
                <w:sz w:val="18"/>
                <w:szCs w:val="18"/>
              </w:rPr>
            </w:pPr>
          </w:p>
        </w:tc>
        <w:tc>
          <w:tcPr>
            <w:tcW w:w="449" w:type="pct"/>
            <w:vMerge/>
            <w:shd w:val="clear" w:color="auto" w:fill="auto"/>
            <w:vAlign w:val="center"/>
            <w:hideMark/>
          </w:tcPr>
          <w:p w14:paraId="092DF9B2" w14:textId="77777777" w:rsidR="00070967" w:rsidRPr="000D03B4" w:rsidRDefault="00070967" w:rsidP="00A745DB">
            <w:pPr>
              <w:widowControl/>
              <w:adjustRightInd w:val="0"/>
              <w:snapToGrid w:val="0"/>
              <w:jc w:val="center"/>
              <w:rPr>
                <w:rFonts w:eastAsiaTheme="majorEastAsia"/>
                <w:kern w:val="0"/>
                <w:sz w:val="18"/>
                <w:szCs w:val="18"/>
              </w:rPr>
            </w:pPr>
          </w:p>
        </w:tc>
        <w:tc>
          <w:tcPr>
            <w:tcW w:w="353" w:type="pct"/>
            <w:shd w:val="clear" w:color="auto" w:fill="auto"/>
            <w:noWrap/>
            <w:vAlign w:val="center"/>
            <w:hideMark/>
          </w:tcPr>
          <w:p w14:paraId="43D0D058" w14:textId="77777777" w:rsidR="00070967" w:rsidRPr="000D03B4" w:rsidRDefault="00070967" w:rsidP="00A745DB">
            <w:pPr>
              <w:widowControl/>
              <w:adjustRightInd w:val="0"/>
              <w:snapToGrid w:val="0"/>
              <w:jc w:val="center"/>
              <w:rPr>
                <w:rFonts w:eastAsiaTheme="majorEastAsia"/>
                <w:kern w:val="0"/>
                <w:sz w:val="18"/>
                <w:szCs w:val="18"/>
              </w:rPr>
            </w:pPr>
            <w:r w:rsidRPr="000D03B4">
              <w:rPr>
                <w:rFonts w:eastAsiaTheme="majorEastAsia"/>
                <w:kern w:val="0"/>
                <w:sz w:val="18"/>
                <w:szCs w:val="18"/>
              </w:rPr>
              <w:t>3.2.7</w:t>
            </w:r>
          </w:p>
        </w:tc>
        <w:tc>
          <w:tcPr>
            <w:tcW w:w="1258" w:type="pct"/>
            <w:shd w:val="clear" w:color="auto" w:fill="auto"/>
            <w:noWrap/>
            <w:vAlign w:val="center"/>
            <w:hideMark/>
          </w:tcPr>
          <w:p w14:paraId="3CD5A007" w14:textId="77777777" w:rsidR="00070967" w:rsidRPr="000D03B4" w:rsidRDefault="00070967" w:rsidP="00A745DB">
            <w:pPr>
              <w:widowControl/>
              <w:adjustRightInd w:val="0"/>
              <w:snapToGrid w:val="0"/>
              <w:rPr>
                <w:rFonts w:eastAsiaTheme="majorEastAsia"/>
                <w:kern w:val="0"/>
                <w:sz w:val="18"/>
                <w:szCs w:val="18"/>
              </w:rPr>
            </w:pPr>
            <w:r w:rsidRPr="000D03B4">
              <w:rPr>
                <w:rFonts w:eastAsiaTheme="majorEastAsia"/>
                <w:kern w:val="0"/>
                <w:sz w:val="18"/>
                <w:szCs w:val="18"/>
              </w:rPr>
              <w:t>个人理财服务</w:t>
            </w:r>
          </w:p>
        </w:tc>
        <w:tc>
          <w:tcPr>
            <w:tcW w:w="2478" w:type="pct"/>
            <w:shd w:val="clear" w:color="auto" w:fill="auto"/>
            <w:vAlign w:val="center"/>
            <w:hideMark/>
          </w:tcPr>
          <w:p w14:paraId="6A690122" w14:textId="77777777" w:rsidR="00070967" w:rsidRPr="000D03B4" w:rsidRDefault="00070967" w:rsidP="00264E2B">
            <w:pPr>
              <w:widowControl/>
              <w:adjustRightInd w:val="0"/>
              <w:snapToGrid w:val="0"/>
              <w:jc w:val="left"/>
              <w:rPr>
                <w:rFonts w:eastAsiaTheme="majorEastAsia"/>
                <w:kern w:val="0"/>
                <w:sz w:val="18"/>
                <w:szCs w:val="18"/>
              </w:rPr>
            </w:pPr>
            <w:r w:rsidRPr="000D03B4">
              <w:rPr>
                <w:rFonts w:eastAsiaTheme="majorEastAsia"/>
                <w:kern w:val="0"/>
                <w:sz w:val="18"/>
                <w:szCs w:val="18"/>
              </w:rPr>
              <w:t>市场需求</w:t>
            </w:r>
          </w:p>
        </w:tc>
      </w:tr>
    </w:tbl>
    <w:p w14:paraId="17A7DAFE" w14:textId="77777777" w:rsidR="00506AE0" w:rsidRPr="000D03B4" w:rsidRDefault="00506AE0" w:rsidP="00A745DB">
      <w:pPr>
        <w:snapToGrid w:val="0"/>
        <w:spacing w:line="300" w:lineRule="auto"/>
        <w:rPr>
          <w:rFonts w:eastAsia="黑体"/>
          <w:sz w:val="30"/>
          <w:szCs w:val="30"/>
        </w:rPr>
      </w:pPr>
    </w:p>
    <w:sectPr w:rsidR="00506AE0" w:rsidRPr="000D03B4" w:rsidSect="00164EAE">
      <w:pgSz w:w="16838" w:h="11906" w:orient="landscape"/>
      <w:pgMar w:top="1701" w:right="1588" w:bottom="1418" w:left="1418" w:header="851" w:footer="851" w:gutter="0"/>
      <w:cols w:space="425"/>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171292" w15:done="0"/>
  <w15:commentEx w15:paraId="7341CAC1" w15:done="0"/>
  <w15:commentEx w15:paraId="4C2D35BE" w15:done="0"/>
  <w15:commentEx w15:paraId="594C50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171292" w16cid:durableId="20C700F1"/>
  <w16cid:commentId w16cid:paraId="7341CAC1" w16cid:durableId="20C738FF"/>
  <w16cid:commentId w16cid:paraId="4C2D35BE" w16cid:durableId="20C700F3"/>
  <w16cid:commentId w16cid:paraId="594C50CE" w16cid:durableId="20C700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FF80C" w14:textId="77777777" w:rsidR="001C67FF" w:rsidRDefault="001C67FF">
      <w:r>
        <w:separator/>
      </w:r>
    </w:p>
  </w:endnote>
  <w:endnote w:type="continuationSeparator" w:id="0">
    <w:p w14:paraId="27E91DC9" w14:textId="77777777" w:rsidR="001C67FF" w:rsidRDefault="001C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225822"/>
      <w:docPartObj>
        <w:docPartGallery w:val="Page Numbers (Bottom of Page)"/>
        <w:docPartUnique/>
      </w:docPartObj>
    </w:sdtPr>
    <w:sdtContent>
      <w:p w14:paraId="2969B549" w14:textId="1019AB1D" w:rsidR="00AC08CF" w:rsidRDefault="00AC08CF">
        <w:pPr>
          <w:pStyle w:val="a9"/>
          <w:jc w:val="center"/>
        </w:pPr>
        <w:r>
          <w:fldChar w:fldCharType="begin"/>
        </w:r>
        <w:r>
          <w:instrText>PAGE   \* MERGEFORMAT</w:instrText>
        </w:r>
        <w:r>
          <w:fldChar w:fldCharType="separate"/>
        </w:r>
        <w:r w:rsidR="006E0C16" w:rsidRPr="006E0C16">
          <w:rPr>
            <w:noProof/>
            <w:lang w:val="zh-CN"/>
          </w:rPr>
          <w:t>11</w:t>
        </w:r>
        <w:r>
          <w:fldChar w:fldCharType="end"/>
        </w:r>
      </w:p>
    </w:sdtContent>
  </w:sdt>
  <w:p w14:paraId="4FFB4BDA" w14:textId="2745520E" w:rsidR="00AC08CF" w:rsidRPr="00CF572D" w:rsidRDefault="00AC08CF" w:rsidP="00CF572D">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9B54C" w14:textId="69FBCB5E" w:rsidR="00AC08CF" w:rsidRDefault="00AC08CF">
    <w:pPr>
      <w:pStyle w:val="a9"/>
      <w:jc w:val="center"/>
    </w:pPr>
  </w:p>
  <w:p w14:paraId="7AD252A6" w14:textId="77777777" w:rsidR="00AC08CF" w:rsidRDefault="00AC08C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B6A11" w14:textId="77777777" w:rsidR="001C67FF" w:rsidRDefault="001C67FF">
      <w:r>
        <w:separator/>
      </w:r>
    </w:p>
  </w:footnote>
  <w:footnote w:type="continuationSeparator" w:id="0">
    <w:p w14:paraId="1840931D" w14:textId="77777777" w:rsidR="001C67FF" w:rsidRDefault="001C6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C93"/>
    <w:multiLevelType w:val="hybridMultilevel"/>
    <w:tmpl w:val="27E01C80"/>
    <w:lvl w:ilvl="0" w:tplc="11625C10">
      <w:start w:val="1"/>
      <w:numFmt w:val="upperLetter"/>
      <w:lvlText w:val="%1."/>
      <w:lvlJc w:val="left"/>
      <w:pPr>
        <w:ind w:left="786"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70A4603"/>
    <w:multiLevelType w:val="hybridMultilevel"/>
    <w:tmpl w:val="64D0FF3C"/>
    <w:lvl w:ilvl="0" w:tplc="0BB4418C">
      <w:start w:val="4"/>
      <w:numFmt w:val="decimal"/>
      <w:lvlText w:val="（%1）"/>
      <w:lvlJc w:val="left"/>
      <w:pPr>
        <w:ind w:left="926"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A85D9F"/>
    <w:multiLevelType w:val="hybridMultilevel"/>
    <w:tmpl w:val="8F7C2958"/>
    <w:lvl w:ilvl="0" w:tplc="039241E6">
      <w:start w:val="1"/>
      <w:numFmt w:val="decimalEnclosedCircle"/>
      <w:lvlText w:val="%1"/>
      <w:lvlJc w:val="left"/>
      <w:pPr>
        <w:ind w:left="890" w:hanging="360"/>
      </w:pPr>
      <w:rPr>
        <w:rFonts w:hint="default"/>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3">
    <w:nsid w:val="09134CA0"/>
    <w:multiLevelType w:val="multilevel"/>
    <w:tmpl w:val="09134CA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51F6A17"/>
    <w:multiLevelType w:val="hybridMultilevel"/>
    <w:tmpl w:val="4E707D28"/>
    <w:lvl w:ilvl="0" w:tplc="1A2A17A4">
      <w:start w:val="1"/>
      <w:numFmt w:val="upperLetter"/>
      <w:lvlText w:val="%1."/>
      <w:lvlJc w:val="left"/>
      <w:pPr>
        <w:ind w:left="842" w:hanging="360"/>
      </w:pPr>
      <w:rPr>
        <w:rFonts w:ascii="Calibri" w:hAnsi="Calibri" w:hint="default"/>
        <w:b/>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23356292"/>
    <w:multiLevelType w:val="hybridMultilevel"/>
    <w:tmpl w:val="BC92CB1E"/>
    <w:lvl w:ilvl="0" w:tplc="365AA03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A6E02D2"/>
    <w:multiLevelType w:val="hybridMultilevel"/>
    <w:tmpl w:val="BDD8B15A"/>
    <w:lvl w:ilvl="0" w:tplc="B838F4E6">
      <w:start w:val="1"/>
      <w:numFmt w:val="decimalEnclosedCircle"/>
      <w:lvlText w:val="%1"/>
      <w:lvlJc w:val="left"/>
      <w:pPr>
        <w:ind w:left="88" w:firstLine="442"/>
      </w:pPr>
      <w:rPr>
        <w:rFonts w:ascii="宋体" w:hAnsi="宋体" w:cs="宋体" w:hint="default"/>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7">
    <w:nsid w:val="3864035B"/>
    <w:multiLevelType w:val="hybridMultilevel"/>
    <w:tmpl w:val="E2904C0E"/>
    <w:lvl w:ilvl="0" w:tplc="CC56A936">
      <w:start w:val="1"/>
      <w:numFmt w:val="decimal"/>
      <w:lvlText w:val="（%1）"/>
      <w:lvlJc w:val="left"/>
      <w:pPr>
        <w:ind w:left="802" w:hanging="360"/>
      </w:pPr>
      <w:rPr>
        <w:rFonts w:ascii="宋体" w:hAnsi="宋体" w:cs="宋体"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8">
    <w:nsid w:val="5104415E"/>
    <w:multiLevelType w:val="hybridMultilevel"/>
    <w:tmpl w:val="DE4CBEA8"/>
    <w:lvl w:ilvl="0" w:tplc="967EF19E">
      <w:start w:val="1"/>
      <w:numFmt w:val="upperLetter"/>
      <w:lvlText w:val="%1."/>
      <w:lvlJc w:val="left"/>
      <w:pPr>
        <w:ind w:left="802" w:hanging="36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9">
    <w:nsid w:val="6E5E5BF1"/>
    <w:multiLevelType w:val="hybridMultilevel"/>
    <w:tmpl w:val="62222956"/>
    <w:lvl w:ilvl="0" w:tplc="CC56A936">
      <w:start w:val="1"/>
      <w:numFmt w:val="decimal"/>
      <w:lvlText w:val="（%1）"/>
      <w:lvlJc w:val="left"/>
      <w:pPr>
        <w:ind w:left="926"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60324C1"/>
    <w:multiLevelType w:val="hybridMultilevel"/>
    <w:tmpl w:val="A99655F4"/>
    <w:lvl w:ilvl="0" w:tplc="14488174">
      <w:start w:val="3"/>
      <w:numFmt w:val="decimalEnclosedCircle"/>
      <w:lvlText w:val="%1"/>
      <w:lvlJc w:val="left"/>
      <w:pPr>
        <w:ind w:left="890" w:hanging="360"/>
      </w:pPr>
      <w:rPr>
        <w:rFonts w:ascii="宋体" w:hAnsi="宋体" w:cs="宋体" w:hint="default"/>
      </w:rPr>
    </w:lvl>
    <w:lvl w:ilvl="1" w:tplc="04090019" w:tentative="1">
      <w:start w:val="1"/>
      <w:numFmt w:val="lowerLetter"/>
      <w:lvlText w:val="%2)"/>
      <w:lvlJc w:val="left"/>
      <w:pPr>
        <w:ind w:left="1370" w:hanging="420"/>
      </w:pPr>
    </w:lvl>
    <w:lvl w:ilvl="2" w:tplc="0409001B" w:tentative="1">
      <w:start w:val="1"/>
      <w:numFmt w:val="lowerRoman"/>
      <w:lvlText w:val="%3."/>
      <w:lvlJc w:val="right"/>
      <w:pPr>
        <w:ind w:left="1790" w:hanging="420"/>
      </w:pPr>
    </w:lvl>
    <w:lvl w:ilvl="3" w:tplc="0409000F" w:tentative="1">
      <w:start w:val="1"/>
      <w:numFmt w:val="decimal"/>
      <w:lvlText w:val="%4."/>
      <w:lvlJc w:val="left"/>
      <w:pPr>
        <w:ind w:left="2210" w:hanging="420"/>
      </w:pPr>
    </w:lvl>
    <w:lvl w:ilvl="4" w:tplc="04090019" w:tentative="1">
      <w:start w:val="1"/>
      <w:numFmt w:val="lowerLetter"/>
      <w:lvlText w:val="%5)"/>
      <w:lvlJc w:val="left"/>
      <w:pPr>
        <w:ind w:left="2630" w:hanging="420"/>
      </w:pPr>
    </w:lvl>
    <w:lvl w:ilvl="5" w:tplc="0409001B" w:tentative="1">
      <w:start w:val="1"/>
      <w:numFmt w:val="lowerRoman"/>
      <w:lvlText w:val="%6."/>
      <w:lvlJc w:val="right"/>
      <w:pPr>
        <w:ind w:left="3050" w:hanging="420"/>
      </w:pPr>
    </w:lvl>
    <w:lvl w:ilvl="6" w:tplc="0409000F" w:tentative="1">
      <w:start w:val="1"/>
      <w:numFmt w:val="decimal"/>
      <w:lvlText w:val="%7."/>
      <w:lvlJc w:val="left"/>
      <w:pPr>
        <w:ind w:left="3470" w:hanging="420"/>
      </w:pPr>
    </w:lvl>
    <w:lvl w:ilvl="7" w:tplc="04090019" w:tentative="1">
      <w:start w:val="1"/>
      <w:numFmt w:val="lowerLetter"/>
      <w:lvlText w:val="%8)"/>
      <w:lvlJc w:val="left"/>
      <w:pPr>
        <w:ind w:left="3890" w:hanging="420"/>
      </w:pPr>
    </w:lvl>
    <w:lvl w:ilvl="8" w:tplc="0409001B" w:tentative="1">
      <w:start w:val="1"/>
      <w:numFmt w:val="lowerRoman"/>
      <w:lvlText w:val="%9."/>
      <w:lvlJc w:val="right"/>
      <w:pPr>
        <w:ind w:left="4310" w:hanging="420"/>
      </w:pPr>
    </w:lvl>
  </w:abstractNum>
  <w:abstractNum w:abstractNumId="11">
    <w:nsid w:val="7F1E7989"/>
    <w:multiLevelType w:val="hybridMultilevel"/>
    <w:tmpl w:val="FAC60128"/>
    <w:lvl w:ilvl="0" w:tplc="CC56A936">
      <w:start w:val="1"/>
      <w:numFmt w:val="decimal"/>
      <w:lvlText w:val="（%1）"/>
      <w:lvlJc w:val="left"/>
      <w:pPr>
        <w:ind w:left="1286" w:hanging="720"/>
      </w:pPr>
      <w:rPr>
        <w:rFonts w:ascii="宋体" w:hAnsi="宋体" w:cs="宋体"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3"/>
  </w:num>
  <w:num w:numId="2">
    <w:abstractNumId w:val="2"/>
  </w:num>
  <w:num w:numId="3">
    <w:abstractNumId w:val="10"/>
  </w:num>
  <w:num w:numId="4">
    <w:abstractNumId w:val="7"/>
  </w:num>
  <w:num w:numId="5">
    <w:abstractNumId w:val="6"/>
  </w:num>
  <w:num w:numId="6">
    <w:abstractNumId w:val="5"/>
  </w:num>
  <w:num w:numId="7">
    <w:abstractNumId w:val="11"/>
  </w:num>
  <w:num w:numId="8">
    <w:abstractNumId w:val="9"/>
  </w:num>
  <w:num w:numId="9">
    <w:abstractNumId w:val="1"/>
  </w:num>
  <w:num w:numId="10">
    <w:abstractNumId w:val="8"/>
  </w:num>
  <w:num w:numId="11">
    <w:abstractNumId w:val="4"/>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8352">
    <w15:presenceInfo w15:providerId="AD" w15:userId="S::edu28352@office.bz::fa26ffb0-3cad-4f18-a95a-196408bc75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A1"/>
    <w:rsid w:val="0000052F"/>
    <w:rsid w:val="00001938"/>
    <w:rsid w:val="00004AE6"/>
    <w:rsid w:val="00006300"/>
    <w:rsid w:val="0001015B"/>
    <w:rsid w:val="000105C0"/>
    <w:rsid w:val="00011F4D"/>
    <w:rsid w:val="00013B22"/>
    <w:rsid w:val="00013E18"/>
    <w:rsid w:val="000147F4"/>
    <w:rsid w:val="00014FA4"/>
    <w:rsid w:val="000151A7"/>
    <w:rsid w:val="00016610"/>
    <w:rsid w:val="000201CC"/>
    <w:rsid w:val="00020475"/>
    <w:rsid w:val="00026367"/>
    <w:rsid w:val="00026895"/>
    <w:rsid w:val="00026A5D"/>
    <w:rsid w:val="00026B29"/>
    <w:rsid w:val="0003085E"/>
    <w:rsid w:val="00030FC1"/>
    <w:rsid w:val="00031A3A"/>
    <w:rsid w:val="000326BF"/>
    <w:rsid w:val="00032C64"/>
    <w:rsid w:val="00033E91"/>
    <w:rsid w:val="00034DF7"/>
    <w:rsid w:val="000357CD"/>
    <w:rsid w:val="00036091"/>
    <w:rsid w:val="00037BDA"/>
    <w:rsid w:val="00040BC1"/>
    <w:rsid w:val="000416FF"/>
    <w:rsid w:val="0004320D"/>
    <w:rsid w:val="00044753"/>
    <w:rsid w:val="00044E9E"/>
    <w:rsid w:val="000465B8"/>
    <w:rsid w:val="000472CE"/>
    <w:rsid w:val="00052C1C"/>
    <w:rsid w:val="00056F88"/>
    <w:rsid w:val="000601B7"/>
    <w:rsid w:val="000608CC"/>
    <w:rsid w:val="00061AB4"/>
    <w:rsid w:val="0006272B"/>
    <w:rsid w:val="000633A8"/>
    <w:rsid w:val="00063419"/>
    <w:rsid w:val="00064530"/>
    <w:rsid w:val="0006630B"/>
    <w:rsid w:val="000678B8"/>
    <w:rsid w:val="000700FE"/>
    <w:rsid w:val="00070967"/>
    <w:rsid w:val="00073F1C"/>
    <w:rsid w:val="00074398"/>
    <w:rsid w:val="00074D90"/>
    <w:rsid w:val="00075C94"/>
    <w:rsid w:val="00075DB5"/>
    <w:rsid w:val="0007679A"/>
    <w:rsid w:val="00077493"/>
    <w:rsid w:val="0007771B"/>
    <w:rsid w:val="000807FE"/>
    <w:rsid w:val="00080E81"/>
    <w:rsid w:val="000813C0"/>
    <w:rsid w:val="0008158D"/>
    <w:rsid w:val="00081D4A"/>
    <w:rsid w:val="0008247F"/>
    <w:rsid w:val="00084620"/>
    <w:rsid w:val="000854CF"/>
    <w:rsid w:val="00085A90"/>
    <w:rsid w:val="00085EFE"/>
    <w:rsid w:val="000878A3"/>
    <w:rsid w:val="00091176"/>
    <w:rsid w:val="00091B27"/>
    <w:rsid w:val="0009279D"/>
    <w:rsid w:val="000929D0"/>
    <w:rsid w:val="00094345"/>
    <w:rsid w:val="00096696"/>
    <w:rsid w:val="0009767B"/>
    <w:rsid w:val="000976F9"/>
    <w:rsid w:val="000A2AE6"/>
    <w:rsid w:val="000A353F"/>
    <w:rsid w:val="000A3781"/>
    <w:rsid w:val="000A57B2"/>
    <w:rsid w:val="000A59F8"/>
    <w:rsid w:val="000A6169"/>
    <w:rsid w:val="000A621E"/>
    <w:rsid w:val="000A70B8"/>
    <w:rsid w:val="000B1A48"/>
    <w:rsid w:val="000B1B52"/>
    <w:rsid w:val="000B2957"/>
    <w:rsid w:val="000B4B8E"/>
    <w:rsid w:val="000B4E14"/>
    <w:rsid w:val="000B658F"/>
    <w:rsid w:val="000C0141"/>
    <w:rsid w:val="000C0FDB"/>
    <w:rsid w:val="000C3DBB"/>
    <w:rsid w:val="000C58EF"/>
    <w:rsid w:val="000C6CE6"/>
    <w:rsid w:val="000C79A0"/>
    <w:rsid w:val="000D03B4"/>
    <w:rsid w:val="000D1712"/>
    <w:rsid w:val="000D2A57"/>
    <w:rsid w:val="000D3209"/>
    <w:rsid w:val="000D320B"/>
    <w:rsid w:val="000D3A11"/>
    <w:rsid w:val="000D5E84"/>
    <w:rsid w:val="000D716B"/>
    <w:rsid w:val="000F16C6"/>
    <w:rsid w:val="000F18AC"/>
    <w:rsid w:val="000F286D"/>
    <w:rsid w:val="000F348E"/>
    <w:rsid w:val="000F50B3"/>
    <w:rsid w:val="000F5F39"/>
    <w:rsid w:val="000F7ED5"/>
    <w:rsid w:val="001007A9"/>
    <w:rsid w:val="00103086"/>
    <w:rsid w:val="00103A6D"/>
    <w:rsid w:val="0010428F"/>
    <w:rsid w:val="00105DFB"/>
    <w:rsid w:val="00105EDE"/>
    <w:rsid w:val="00105F34"/>
    <w:rsid w:val="001073DD"/>
    <w:rsid w:val="00110BC1"/>
    <w:rsid w:val="00110EF5"/>
    <w:rsid w:val="00111636"/>
    <w:rsid w:val="00112B82"/>
    <w:rsid w:val="00113A28"/>
    <w:rsid w:val="00114C8A"/>
    <w:rsid w:val="00116497"/>
    <w:rsid w:val="0011767A"/>
    <w:rsid w:val="00120423"/>
    <w:rsid w:val="001208B4"/>
    <w:rsid w:val="00120EE0"/>
    <w:rsid w:val="00121340"/>
    <w:rsid w:val="001213D5"/>
    <w:rsid w:val="00122127"/>
    <w:rsid w:val="00122168"/>
    <w:rsid w:val="001238D1"/>
    <w:rsid w:val="00124DC6"/>
    <w:rsid w:val="00126582"/>
    <w:rsid w:val="00127DCE"/>
    <w:rsid w:val="00130551"/>
    <w:rsid w:val="00130716"/>
    <w:rsid w:val="001348FC"/>
    <w:rsid w:val="00135D3D"/>
    <w:rsid w:val="00136BBC"/>
    <w:rsid w:val="00137D7F"/>
    <w:rsid w:val="00140CAC"/>
    <w:rsid w:val="0014464B"/>
    <w:rsid w:val="00144DF9"/>
    <w:rsid w:val="001476BE"/>
    <w:rsid w:val="001478B5"/>
    <w:rsid w:val="0015087B"/>
    <w:rsid w:val="00150CA1"/>
    <w:rsid w:val="0015233A"/>
    <w:rsid w:val="00152FE9"/>
    <w:rsid w:val="001549C3"/>
    <w:rsid w:val="00156F13"/>
    <w:rsid w:val="00157129"/>
    <w:rsid w:val="001575A0"/>
    <w:rsid w:val="001602BF"/>
    <w:rsid w:val="00162628"/>
    <w:rsid w:val="00164AA7"/>
    <w:rsid w:val="00164E7D"/>
    <w:rsid w:val="00164EAE"/>
    <w:rsid w:val="00166B8C"/>
    <w:rsid w:val="00166FC1"/>
    <w:rsid w:val="00167D7E"/>
    <w:rsid w:val="00171E59"/>
    <w:rsid w:val="0017228F"/>
    <w:rsid w:val="00172D60"/>
    <w:rsid w:val="00172FD4"/>
    <w:rsid w:val="0017465E"/>
    <w:rsid w:val="001746D2"/>
    <w:rsid w:val="00174757"/>
    <w:rsid w:val="00174845"/>
    <w:rsid w:val="00176B42"/>
    <w:rsid w:val="0017745D"/>
    <w:rsid w:val="00180375"/>
    <w:rsid w:val="0018153E"/>
    <w:rsid w:val="00181CFA"/>
    <w:rsid w:val="001824D5"/>
    <w:rsid w:val="0018479F"/>
    <w:rsid w:val="00185128"/>
    <w:rsid w:val="00186D6B"/>
    <w:rsid w:val="001901FD"/>
    <w:rsid w:val="001912B1"/>
    <w:rsid w:val="001920D1"/>
    <w:rsid w:val="00192A8C"/>
    <w:rsid w:val="001936A2"/>
    <w:rsid w:val="001949AB"/>
    <w:rsid w:val="00194EC4"/>
    <w:rsid w:val="00195D0F"/>
    <w:rsid w:val="00196F1F"/>
    <w:rsid w:val="0019793B"/>
    <w:rsid w:val="001979B8"/>
    <w:rsid w:val="001A1B1B"/>
    <w:rsid w:val="001A4428"/>
    <w:rsid w:val="001A47F1"/>
    <w:rsid w:val="001A5270"/>
    <w:rsid w:val="001B15D6"/>
    <w:rsid w:val="001B517E"/>
    <w:rsid w:val="001B67BB"/>
    <w:rsid w:val="001C0FEF"/>
    <w:rsid w:val="001C56F2"/>
    <w:rsid w:val="001C67FF"/>
    <w:rsid w:val="001D057C"/>
    <w:rsid w:val="001D1983"/>
    <w:rsid w:val="001D254A"/>
    <w:rsid w:val="001D44C1"/>
    <w:rsid w:val="001D4DFB"/>
    <w:rsid w:val="001D58DE"/>
    <w:rsid w:val="001D6F10"/>
    <w:rsid w:val="001D7894"/>
    <w:rsid w:val="001E035A"/>
    <w:rsid w:val="001E269A"/>
    <w:rsid w:val="001E2C1E"/>
    <w:rsid w:val="001E3010"/>
    <w:rsid w:val="001E3A62"/>
    <w:rsid w:val="001E44BF"/>
    <w:rsid w:val="001E44C5"/>
    <w:rsid w:val="001E59E5"/>
    <w:rsid w:val="001E5A49"/>
    <w:rsid w:val="001E5B16"/>
    <w:rsid w:val="001E6461"/>
    <w:rsid w:val="001F003E"/>
    <w:rsid w:val="001F0DD0"/>
    <w:rsid w:val="001F4097"/>
    <w:rsid w:val="001F7FB9"/>
    <w:rsid w:val="00203602"/>
    <w:rsid w:val="00204211"/>
    <w:rsid w:val="002056A0"/>
    <w:rsid w:val="00205FF3"/>
    <w:rsid w:val="00207D04"/>
    <w:rsid w:val="00211705"/>
    <w:rsid w:val="00217AAD"/>
    <w:rsid w:val="002201FC"/>
    <w:rsid w:val="00222395"/>
    <w:rsid w:val="00224799"/>
    <w:rsid w:val="00224DF4"/>
    <w:rsid w:val="00225E15"/>
    <w:rsid w:val="00226385"/>
    <w:rsid w:val="002302B7"/>
    <w:rsid w:val="00230E56"/>
    <w:rsid w:val="0023323E"/>
    <w:rsid w:val="0023352B"/>
    <w:rsid w:val="00236DEB"/>
    <w:rsid w:val="00240839"/>
    <w:rsid w:val="00242B12"/>
    <w:rsid w:val="00243027"/>
    <w:rsid w:val="00243A3B"/>
    <w:rsid w:val="00245665"/>
    <w:rsid w:val="00245A1F"/>
    <w:rsid w:val="00250552"/>
    <w:rsid w:val="00252DAC"/>
    <w:rsid w:val="00256DFF"/>
    <w:rsid w:val="002601EC"/>
    <w:rsid w:val="0026023F"/>
    <w:rsid w:val="0026106C"/>
    <w:rsid w:val="00262B5B"/>
    <w:rsid w:val="00263BBA"/>
    <w:rsid w:val="00264E2B"/>
    <w:rsid w:val="00264F0C"/>
    <w:rsid w:val="0026678C"/>
    <w:rsid w:val="0026697A"/>
    <w:rsid w:val="00270BFB"/>
    <w:rsid w:val="002719E0"/>
    <w:rsid w:val="00272ACD"/>
    <w:rsid w:val="00275D05"/>
    <w:rsid w:val="0027626F"/>
    <w:rsid w:val="0027690E"/>
    <w:rsid w:val="002771D0"/>
    <w:rsid w:val="0028006E"/>
    <w:rsid w:val="00285493"/>
    <w:rsid w:val="00291101"/>
    <w:rsid w:val="00291A27"/>
    <w:rsid w:val="00293DBA"/>
    <w:rsid w:val="002941CC"/>
    <w:rsid w:val="002953A4"/>
    <w:rsid w:val="002A0FAB"/>
    <w:rsid w:val="002A15B0"/>
    <w:rsid w:val="002A415F"/>
    <w:rsid w:val="002A44E6"/>
    <w:rsid w:val="002A5336"/>
    <w:rsid w:val="002A78C2"/>
    <w:rsid w:val="002A7CEB"/>
    <w:rsid w:val="002B057C"/>
    <w:rsid w:val="002B1066"/>
    <w:rsid w:val="002B15A7"/>
    <w:rsid w:val="002B2C21"/>
    <w:rsid w:val="002B59D2"/>
    <w:rsid w:val="002B7AFB"/>
    <w:rsid w:val="002C1518"/>
    <w:rsid w:val="002C24D2"/>
    <w:rsid w:val="002C255B"/>
    <w:rsid w:val="002D0BE5"/>
    <w:rsid w:val="002D10B9"/>
    <w:rsid w:val="002D1502"/>
    <w:rsid w:val="002D1BE7"/>
    <w:rsid w:val="002D21BE"/>
    <w:rsid w:val="002D3C96"/>
    <w:rsid w:val="002D540F"/>
    <w:rsid w:val="002D6D11"/>
    <w:rsid w:val="002E12C0"/>
    <w:rsid w:val="002E5051"/>
    <w:rsid w:val="002E5934"/>
    <w:rsid w:val="002E666C"/>
    <w:rsid w:val="002F0578"/>
    <w:rsid w:val="002F1FA7"/>
    <w:rsid w:val="002F24ED"/>
    <w:rsid w:val="002F3F33"/>
    <w:rsid w:val="002F643A"/>
    <w:rsid w:val="002F69FA"/>
    <w:rsid w:val="002F6E9E"/>
    <w:rsid w:val="0030184C"/>
    <w:rsid w:val="003019A9"/>
    <w:rsid w:val="00302B32"/>
    <w:rsid w:val="003039A8"/>
    <w:rsid w:val="003051FC"/>
    <w:rsid w:val="003107E1"/>
    <w:rsid w:val="00310D0F"/>
    <w:rsid w:val="00310D9A"/>
    <w:rsid w:val="00313CE4"/>
    <w:rsid w:val="00315BD3"/>
    <w:rsid w:val="003161C2"/>
    <w:rsid w:val="003161E1"/>
    <w:rsid w:val="00317BF1"/>
    <w:rsid w:val="00321050"/>
    <w:rsid w:val="003219C8"/>
    <w:rsid w:val="003236BC"/>
    <w:rsid w:val="00323C57"/>
    <w:rsid w:val="00324175"/>
    <w:rsid w:val="003253EB"/>
    <w:rsid w:val="00325CFA"/>
    <w:rsid w:val="003268A3"/>
    <w:rsid w:val="00327A64"/>
    <w:rsid w:val="00334507"/>
    <w:rsid w:val="00335374"/>
    <w:rsid w:val="00336595"/>
    <w:rsid w:val="0034118A"/>
    <w:rsid w:val="003418EA"/>
    <w:rsid w:val="00341EE5"/>
    <w:rsid w:val="0034625C"/>
    <w:rsid w:val="00346971"/>
    <w:rsid w:val="00351CDB"/>
    <w:rsid w:val="00355589"/>
    <w:rsid w:val="00357113"/>
    <w:rsid w:val="00357689"/>
    <w:rsid w:val="003577DD"/>
    <w:rsid w:val="003579F3"/>
    <w:rsid w:val="00357CDA"/>
    <w:rsid w:val="00361099"/>
    <w:rsid w:val="00361C59"/>
    <w:rsid w:val="00361C62"/>
    <w:rsid w:val="00361DD5"/>
    <w:rsid w:val="00362303"/>
    <w:rsid w:val="00362E2C"/>
    <w:rsid w:val="00363DD5"/>
    <w:rsid w:val="00365357"/>
    <w:rsid w:val="003659EE"/>
    <w:rsid w:val="0036790C"/>
    <w:rsid w:val="003679C3"/>
    <w:rsid w:val="00370417"/>
    <w:rsid w:val="00373252"/>
    <w:rsid w:val="00373B77"/>
    <w:rsid w:val="00373D92"/>
    <w:rsid w:val="00374DB6"/>
    <w:rsid w:val="00376976"/>
    <w:rsid w:val="003812DC"/>
    <w:rsid w:val="0038247E"/>
    <w:rsid w:val="00384F7C"/>
    <w:rsid w:val="00394A7D"/>
    <w:rsid w:val="003962A4"/>
    <w:rsid w:val="00396F58"/>
    <w:rsid w:val="00397E5F"/>
    <w:rsid w:val="003A20E3"/>
    <w:rsid w:val="003A30FA"/>
    <w:rsid w:val="003A3768"/>
    <w:rsid w:val="003A5215"/>
    <w:rsid w:val="003A530D"/>
    <w:rsid w:val="003A57A1"/>
    <w:rsid w:val="003A66B9"/>
    <w:rsid w:val="003A75F7"/>
    <w:rsid w:val="003B15DE"/>
    <w:rsid w:val="003B33E2"/>
    <w:rsid w:val="003B3D70"/>
    <w:rsid w:val="003B566B"/>
    <w:rsid w:val="003B64BA"/>
    <w:rsid w:val="003B6AFD"/>
    <w:rsid w:val="003C087F"/>
    <w:rsid w:val="003C3ADC"/>
    <w:rsid w:val="003C405B"/>
    <w:rsid w:val="003C42D9"/>
    <w:rsid w:val="003C45F9"/>
    <w:rsid w:val="003C4CBF"/>
    <w:rsid w:val="003C664D"/>
    <w:rsid w:val="003C7236"/>
    <w:rsid w:val="003C76EF"/>
    <w:rsid w:val="003D204D"/>
    <w:rsid w:val="003D4DA6"/>
    <w:rsid w:val="003D4F3C"/>
    <w:rsid w:val="003D5E12"/>
    <w:rsid w:val="003E0044"/>
    <w:rsid w:val="003E0BE9"/>
    <w:rsid w:val="003E2D6E"/>
    <w:rsid w:val="003E2E35"/>
    <w:rsid w:val="003E3E26"/>
    <w:rsid w:val="003E405E"/>
    <w:rsid w:val="003E7053"/>
    <w:rsid w:val="003E7CA4"/>
    <w:rsid w:val="003E7ED4"/>
    <w:rsid w:val="003F0CF6"/>
    <w:rsid w:val="003F1B6F"/>
    <w:rsid w:val="003F331D"/>
    <w:rsid w:val="003F3512"/>
    <w:rsid w:val="003F3D20"/>
    <w:rsid w:val="003F3D58"/>
    <w:rsid w:val="003F3DE5"/>
    <w:rsid w:val="003F6038"/>
    <w:rsid w:val="00400869"/>
    <w:rsid w:val="00406C73"/>
    <w:rsid w:val="00406E0E"/>
    <w:rsid w:val="00407BAA"/>
    <w:rsid w:val="0041171F"/>
    <w:rsid w:val="0041174A"/>
    <w:rsid w:val="00411790"/>
    <w:rsid w:val="00411E08"/>
    <w:rsid w:val="004129DB"/>
    <w:rsid w:val="004139F1"/>
    <w:rsid w:val="00413D43"/>
    <w:rsid w:val="00414E1D"/>
    <w:rsid w:val="00417C9C"/>
    <w:rsid w:val="00420BF9"/>
    <w:rsid w:val="00421709"/>
    <w:rsid w:val="004234A2"/>
    <w:rsid w:val="0042369C"/>
    <w:rsid w:val="0042419C"/>
    <w:rsid w:val="00425117"/>
    <w:rsid w:val="00425ED9"/>
    <w:rsid w:val="004266C2"/>
    <w:rsid w:val="00426EDF"/>
    <w:rsid w:val="004277C9"/>
    <w:rsid w:val="0043115E"/>
    <w:rsid w:val="0043224C"/>
    <w:rsid w:val="00433325"/>
    <w:rsid w:val="00437011"/>
    <w:rsid w:val="00437893"/>
    <w:rsid w:val="00437C41"/>
    <w:rsid w:val="0044027E"/>
    <w:rsid w:val="00442B79"/>
    <w:rsid w:val="004511FA"/>
    <w:rsid w:val="00452508"/>
    <w:rsid w:val="00453EF0"/>
    <w:rsid w:val="00455E31"/>
    <w:rsid w:val="00457C8A"/>
    <w:rsid w:val="00457D2F"/>
    <w:rsid w:val="004602CE"/>
    <w:rsid w:val="004607DC"/>
    <w:rsid w:val="0046156A"/>
    <w:rsid w:val="00463018"/>
    <w:rsid w:val="00463098"/>
    <w:rsid w:val="0046312F"/>
    <w:rsid w:val="00464350"/>
    <w:rsid w:val="00464964"/>
    <w:rsid w:val="00467CAE"/>
    <w:rsid w:val="00467F97"/>
    <w:rsid w:val="00470E83"/>
    <w:rsid w:val="004743EA"/>
    <w:rsid w:val="00481158"/>
    <w:rsid w:val="004823BF"/>
    <w:rsid w:val="0048305D"/>
    <w:rsid w:val="00484FA0"/>
    <w:rsid w:val="00485F12"/>
    <w:rsid w:val="0048719B"/>
    <w:rsid w:val="00487946"/>
    <w:rsid w:val="00490ACF"/>
    <w:rsid w:val="00492413"/>
    <w:rsid w:val="004942A4"/>
    <w:rsid w:val="004977B4"/>
    <w:rsid w:val="004A18B9"/>
    <w:rsid w:val="004A24AD"/>
    <w:rsid w:val="004A68C6"/>
    <w:rsid w:val="004A7ED2"/>
    <w:rsid w:val="004B10A0"/>
    <w:rsid w:val="004B3E2D"/>
    <w:rsid w:val="004B60BE"/>
    <w:rsid w:val="004B697C"/>
    <w:rsid w:val="004B6FEE"/>
    <w:rsid w:val="004C1D48"/>
    <w:rsid w:val="004C1E93"/>
    <w:rsid w:val="004C299A"/>
    <w:rsid w:val="004C30B8"/>
    <w:rsid w:val="004C6692"/>
    <w:rsid w:val="004D0A4C"/>
    <w:rsid w:val="004D10B5"/>
    <w:rsid w:val="004D1946"/>
    <w:rsid w:val="004D2F6E"/>
    <w:rsid w:val="004D377E"/>
    <w:rsid w:val="004D379E"/>
    <w:rsid w:val="004D7E78"/>
    <w:rsid w:val="004E491D"/>
    <w:rsid w:val="004F0B2F"/>
    <w:rsid w:val="004F2EE1"/>
    <w:rsid w:val="004F4F2A"/>
    <w:rsid w:val="004F6276"/>
    <w:rsid w:val="004F6579"/>
    <w:rsid w:val="005051B5"/>
    <w:rsid w:val="0050557E"/>
    <w:rsid w:val="00506AE0"/>
    <w:rsid w:val="00512301"/>
    <w:rsid w:val="0051434D"/>
    <w:rsid w:val="00515D32"/>
    <w:rsid w:val="0051774C"/>
    <w:rsid w:val="00520534"/>
    <w:rsid w:val="00521E47"/>
    <w:rsid w:val="00522182"/>
    <w:rsid w:val="00522AC2"/>
    <w:rsid w:val="005267A4"/>
    <w:rsid w:val="0053137C"/>
    <w:rsid w:val="00531AFC"/>
    <w:rsid w:val="00532054"/>
    <w:rsid w:val="005321D7"/>
    <w:rsid w:val="005327C1"/>
    <w:rsid w:val="00534D9A"/>
    <w:rsid w:val="00534EF0"/>
    <w:rsid w:val="00540EB0"/>
    <w:rsid w:val="005445E9"/>
    <w:rsid w:val="00545C61"/>
    <w:rsid w:val="00546257"/>
    <w:rsid w:val="0054646A"/>
    <w:rsid w:val="00551D31"/>
    <w:rsid w:val="00551E68"/>
    <w:rsid w:val="00554238"/>
    <w:rsid w:val="0055459B"/>
    <w:rsid w:val="00554A6C"/>
    <w:rsid w:val="005558D7"/>
    <w:rsid w:val="00555EA5"/>
    <w:rsid w:val="00557B62"/>
    <w:rsid w:val="0056042E"/>
    <w:rsid w:val="005701A2"/>
    <w:rsid w:val="00570290"/>
    <w:rsid w:val="005740CD"/>
    <w:rsid w:val="005740D8"/>
    <w:rsid w:val="0057471B"/>
    <w:rsid w:val="00574C5A"/>
    <w:rsid w:val="00575F24"/>
    <w:rsid w:val="0057640D"/>
    <w:rsid w:val="00580678"/>
    <w:rsid w:val="00580EAE"/>
    <w:rsid w:val="00581592"/>
    <w:rsid w:val="0058270E"/>
    <w:rsid w:val="00582CE8"/>
    <w:rsid w:val="00583070"/>
    <w:rsid w:val="00583C47"/>
    <w:rsid w:val="00585E5B"/>
    <w:rsid w:val="00586512"/>
    <w:rsid w:val="00586E70"/>
    <w:rsid w:val="005939C3"/>
    <w:rsid w:val="00594F07"/>
    <w:rsid w:val="00595076"/>
    <w:rsid w:val="005A0A11"/>
    <w:rsid w:val="005A586D"/>
    <w:rsid w:val="005A7524"/>
    <w:rsid w:val="005B0529"/>
    <w:rsid w:val="005B0904"/>
    <w:rsid w:val="005B207D"/>
    <w:rsid w:val="005B3784"/>
    <w:rsid w:val="005B37D8"/>
    <w:rsid w:val="005C0E33"/>
    <w:rsid w:val="005C4436"/>
    <w:rsid w:val="005C56CA"/>
    <w:rsid w:val="005C7615"/>
    <w:rsid w:val="005D3AC6"/>
    <w:rsid w:val="005D4D5C"/>
    <w:rsid w:val="005D5137"/>
    <w:rsid w:val="005D52EE"/>
    <w:rsid w:val="005E03A8"/>
    <w:rsid w:val="005E0472"/>
    <w:rsid w:val="005E16A7"/>
    <w:rsid w:val="005E653E"/>
    <w:rsid w:val="005F043E"/>
    <w:rsid w:val="005F10F5"/>
    <w:rsid w:val="006014EA"/>
    <w:rsid w:val="00601929"/>
    <w:rsid w:val="00604986"/>
    <w:rsid w:val="006076AE"/>
    <w:rsid w:val="0061298B"/>
    <w:rsid w:val="00612F59"/>
    <w:rsid w:val="006131BC"/>
    <w:rsid w:val="006145BC"/>
    <w:rsid w:val="00614C58"/>
    <w:rsid w:val="0061507B"/>
    <w:rsid w:val="00616E2E"/>
    <w:rsid w:val="0061785A"/>
    <w:rsid w:val="00617DF3"/>
    <w:rsid w:val="006201C0"/>
    <w:rsid w:val="006205DA"/>
    <w:rsid w:val="00621150"/>
    <w:rsid w:val="0062226C"/>
    <w:rsid w:val="006247F5"/>
    <w:rsid w:val="00625815"/>
    <w:rsid w:val="00625E01"/>
    <w:rsid w:val="0062656D"/>
    <w:rsid w:val="00627874"/>
    <w:rsid w:val="00627BD9"/>
    <w:rsid w:val="00627D03"/>
    <w:rsid w:val="00631F0F"/>
    <w:rsid w:val="00632137"/>
    <w:rsid w:val="00632A28"/>
    <w:rsid w:val="00633763"/>
    <w:rsid w:val="00634B29"/>
    <w:rsid w:val="00636FAD"/>
    <w:rsid w:val="006377B9"/>
    <w:rsid w:val="00640621"/>
    <w:rsid w:val="00643146"/>
    <w:rsid w:val="00643C63"/>
    <w:rsid w:val="00646A60"/>
    <w:rsid w:val="0064704E"/>
    <w:rsid w:val="006475B6"/>
    <w:rsid w:val="00650790"/>
    <w:rsid w:val="00650C64"/>
    <w:rsid w:val="006512FF"/>
    <w:rsid w:val="006537B0"/>
    <w:rsid w:val="00655069"/>
    <w:rsid w:val="0065768C"/>
    <w:rsid w:val="00657D8B"/>
    <w:rsid w:val="00657F08"/>
    <w:rsid w:val="0066180F"/>
    <w:rsid w:val="006626A1"/>
    <w:rsid w:val="00663437"/>
    <w:rsid w:val="00664479"/>
    <w:rsid w:val="0066662D"/>
    <w:rsid w:val="00666BE3"/>
    <w:rsid w:val="00667B67"/>
    <w:rsid w:val="006723B1"/>
    <w:rsid w:val="006734A8"/>
    <w:rsid w:val="00673788"/>
    <w:rsid w:val="006749C9"/>
    <w:rsid w:val="00675F5C"/>
    <w:rsid w:val="00677F42"/>
    <w:rsid w:val="00680E16"/>
    <w:rsid w:val="00681159"/>
    <w:rsid w:val="00684CB4"/>
    <w:rsid w:val="00686982"/>
    <w:rsid w:val="00687616"/>
    <w:rsid w:val="00691024"/>
    <w:rsid w:val="00691806"/>
    <w:rsid w:val="0069226D"/>
    <w:rsid w:val="00692B0A"/>
    <w:rsid w:val="006934A2"/>
    <w:rsid w:val="00693E9E"/>
    <w:rsid w:val="00695753"/>
    <w:rsid w:val="006964D6"/>
    <w:rsid w:val="006A091E"/>
    <w:rsid w:val="006A17A2"/>
    <w:rsid w:val="006A6EB5"/>
    <w:rsid w:val="006A72E2"/>
    <w:rsid w:val="006A7EF2"/>
    <w:rsid w:val="006B061F"/>
    <w:rsid w:val="006B326C"/>
    <w:rsid w:val="006B47AD"/>
    <w:rsid w:val="006B4850"/>
    <w:rsid w:val="006B72AB"/>
    <w:rsid w:val="006B7485"/>
    <w:rsid w:val="006C1AF1"/>
    <w:rsid w:val="006C49EF"/>
    <w:rsid w:val="006C5195"/>
    <w:rsid w:val="006C75EB"/>
    <w:rsid w:val="006D12E0"/>
    <w:rsid w:val="006D19E3"/>
    <w:rsid w:val="006D2E39"/>
    <w:rsid w:val="006D333F"/>
    <w:rsid w:val="006D43AD"/>
    <w:rsid w:val="006D48AA"/>
    <w:rsid w:val="006D4CC4"/>
    <w:rsid w:val="006D5645"/>
    <w:rsid w:val="006D65E4"/>
    <w:rsid w:val="006D6EE5"/>
    <w:rsid w:val="006D72EE"/>
    <w:rsid w:val="006D7CDE"/>
    <w:rsid w:val="006E0B66"/>
    <w:rsid w:val="006E0C16"/>
    <w:rsid w:val="006E1332"/>
    <w:rsid w:val="006E15D1"/>
    <w:rsid w:val="006E2B51"/>
    <w:rsid w:val="006E3440"/>
    <w:rsid w:val="006E35FC"/>
    <w:rsid w:val="006E7B1A"/>
    <w:rsid w:val="006F170B"/>
    <w:rsid w:val="006F1893"/>
    <w:rsid w:val="006F24B9"/>
    <w:rsid w:val="006F3EF8"/>
    <w:rsid w:val="006F3F30"/>
    <w:rsid w:val="006F72D5"/>
    <w:rsid w:val="006F7A3F"/>
    <w:rsid w:val="00700E7B"/>
    <w:rsid w:val="007015D4"/>
    <w:rsid w:val="00701A81"/>
    <w:rsid w:val="00701D55"/>
    <w:rsid w:val="0070381A"/>
    <w:rsid w:val="007039ED"/>
    <w:rsid w:val="007063E4"/>
    <w:rsid w:val="00710778"/>
    <w:rsid w:val="00711305"/>
    <w:rsid w:val="007117E1"/>
    <w:rsid w:val="00712330"/>
    <w:rsid w:val="007126D3"/>
    <w:rsid w:val="007132D1"/>
    <w:rsid w:val="007154C3"/>
    <w:rsid w:val="007167A9"/>
    <w:rsid w:val="00717EA4"/>
    <w:rsid w:val="00721B10"/>
    <w:rsid w:val="00722794"/>
    <w:rsid w:val="0072409A"/>
    <w:rsid w:val="00725AA1"/>
    <w:rsid w:val="00727D54"/>
    <w:rsid w:val="007359AB"/>
    <w:rsid w:val="0073600D"/>
    <w:rsid w:val="00736A73"/>
    <w:rsid w:val="0073760C"/>
    <w:rsid w:val="00737F3F"/>
    <w:rsid w:val="007416CE"/>
    <w:rsid w:val="00741B16"/>
    <w:rsid w:val="0074218A"/>
    <w:rsid w:val="0074248D"/>
    <w:rsid w:val="00744915"/>
    <w:rsid w:val="00744E78"/>
    <w:rsid w:val="007453AA"/>
    <w:rsid w:val="007465FE"/>
    <w:rsid w:val="00746F6D"/>
    <w:rsid w:val="0074771E"/>
    <w:rsid w:val="00750056"/>
    <w:rsid w:val="0075045E"/>
    <w:rsid w:val="00752ECE"/>
    <w:rsid w:val="00753497"/>
    <w:rsid w:val="0075790F"/>
    <w:rsid w:val="00757DA6"/>
    <w:rsid w:val="007614DF"/>
    <w:rsid w:val="007622B3"/>
    <w:rsid w:val="007633EE"/>
    <w:rsid w:val="00766BBB"/>
    <w:rsid w:val="00770602"/>
    <w:rsid w:val="00770B28"/>
    <w:rsid w:val="00770D74"/>
    <w:rsid w:val="007725A8"/>
    <w:rsid w:val="0077355C"/>
    <w:rsid w:val="00773F40"/>
    <w:rsid w:val="007744D0"/>
    <w:rsid w:val="00775247"/>
    <w:rsid w:val="00775408"/>
    <w:rsid w:val="00780C54"/>
    <w:rsid w:val="00783237"/>
    <w:rsid w:val="00784D43"/>
    <w:rsid w:val="00785C99"/>
    <w:rsid w:val="007907B3"/>
    <w:rsid w:val="00790B41"/>
    <w:rsid w:val="00790B5D"/>
    <w:rsid w:val="007912B3"/>
    <w:rsid w:val="007932F8"/>
    <w:rsid w:val="0079483F"/>
    <w:rsid w:val="007954D2"/>
    <w:rsid w:val="00796721"/>
    <w:rsid w:val="00797052"/>
    <w:rsid w:val="007A11F1"/>
    <w:rsid w:val="007A1F25"/>
    <w:rsid w:val="007A4217"/>
    <w:rsid w:val="007A5C17"/>
    <w:rsid w:val="007A7473"/>
    <w:rsid w:val="007B06FC"/>
    <w:rsid w:val="007B179B"/>
    <w:rsid w:val="007B5439"/>
    <w:rsid w:val="007B5BF1"/>
    <w:rsid w:val="007B6D26"/>
    <w:rsid w:val="007B7DEF"/>
    <w:rsid w:val="007C0728"/>
    <w:rsid w:val="007C1921"/>
    <w:rsid w:val="007C2D1A"/>
    <w:rsid w:val="007C35F9"/>
    <w:rsid w:val="007C3D54"/>
    <w:rsid w:val="007D1D75"/>
    <w:rsid w:val="007D2388"/>
    <w:rsid w:val="007D239D"/>
    <w:rsid w:val="007D2924"/>
    <w:rsid w:val="007D3F65"/>
    <w:rsid w:val="007D4FFF"/>
    <w:rsid w:val="007D5F52"/>
    <w:rsid w:val="007E07B4"/>
    <w:rsid w:val="007E1063"/>
    <w:rsid w:val="007E1D83"/>
    <w:rsid w:val="007E2849"/>
    <w:rsid w:val="007E3F41"/>
    <w:rsid w:val="007E44EB"/>
    <w:rsid w:val="007E6149"/>
    <w:rsid w:val="007F21FF"/>
    <w:rsid w:val="007F2F44"/>
    <w:rsid w:val="007F6EC8"/>
    <w:rsid w:val="007F7570"/>
    <w:rsid w:val="008044CF"/>
    <w:rsid w:val="008061F4"/>
    <w:rsid w:val="008079B0"/>
    <w:rsid w:val="00807BEE"/>
    <w:rsid w:val="00807CC5"/>
    <w:rsid w:val="008114E8"/>
    <w:rsid w:val="008124DB"/>
    <w:rsid w:val="00812E55"/>
    <w:rsid w:val="00813269"/>
    <w:rsid w:val="00820208"/>
    <w:rsid w:val="008203FA"/>
    <w:rsid w:val="0082412B"/>
    <w:rsid w:val="00826129"/>
    <w:rsid w:val="0082715E"/>
    <w:rsid w:val="00827855"/>
    <w:rsid w:val="00833047"/>
    <w:rsid w:val="008346EB"/>
    <w:rsid w:val="008347E0"/>
    <w:rsid w:val="00835824"/>
    <w:rsid w:val="00836665"/>
    <w:rsid w:val="00836CE9"/>
    <w:rsid w:val="008407BA"/>
    <w:rsid w:val="00840C0C"/>
    <w:rsid w:val="008427F6"/>
    <w:rsid w:val="008428F9"/>
    <w:rsid w:val="0084301C"/>
    <w:rsid w:val="00845C26"/>
    <w:rsid w:val="00850FA5"/>
    <w:rsid w:val="008511B3"/>
    <w:rsid w:val="00851717"/>
    <w:rsid w:val="00852702"/>
    <w:rsid w:val="0085376C"/>
    <w:rsid w:val="00853D4B"/>
    <w:rsid w:val="008553F7"/>
    <w:rsid w:val="00860262"/>
    <w:rsid w:val="00862698"/>
    <w:rsid w:val="00863E59"/>
    <w:rsid w:val="0086415A"/>
    <w:rsid w:val="0086512B"/>
    <w:rsid w:val="0086551A"/>
    <w:rsid w:val="00865FFF"/>
    <w:rsid w:val="00870B91"/>
    <w:rsid w:val="0087111F"/>
    <w:rsid w:val="00871A9F"/>
    <w:rsid w:val="00871CEF"/>
    <w:rsid w:val="00872CAF"/>
    <w:rsid w:val="0087331B"/>
    <w:rsid w:val="0087432D"/>
    <w:rsid w:val="00877D19"/>
    <w:rsid w:val="008806C8"/>
    <w:rsid w:val="008812F2"/>
    <w:rsid w:val="00881F55"/>
    <w:rsid w:val="0088234E"/>
    <w:rsid w:val="0088379B"/>
    <w:rsid w:val="008849A4"/>
    <w:rsid w:val="00887380"/>
    <w:rsid w:val="0089041D"/>
    <w:rsid w:val="008904D2"/>
    <w:rsid w:val="00891D72"/>
    <w:rsid w:val="008944A6"/>
    <w:rsid w:val="00896C8F"/>
    <w:rsid w:val="008971C3"/>
    <w:rsid w:val="00897933"/>
    <w:rsid w:val="00897A86"/>
    <w:rsid w:val="008A176B"/>
    <w:rsid w:val="008A2795"/>
    <w:rsid w:val="008A2D4E"/>
    <w:rsid w:val="008A3D59"/>
    <w:rsid w:val="008A5469"/>
    <w:rsid w:val="008B099C"/>
    <w:rsid w:val="008B449F"/>
    <w:rsid w:val="008B4907"/>
    <w:rsid w:val="008B5DD2"/>
    <w:rsid w:val="008B656A"/>
    <w:rsid w:val="008C14D9"/>
    <w:rsid w:val="008C1C11"/>
    <w:rsid w:val="008C6143"/>
    <w:rsid w:val="008C6707"/>
    <w:rsid w:val="008D0226"/>
    <w:rsid w:val="008D04B1"/>
    <w:rsid w:val="008D2A3C"/>
    <w:rsid w:val="008D2E6A"/>
    <w:rsid w:val="008D3918"/>
    <w:rsid w:val="008D710C"/>
    <w:rsid w:val="008E15F6"/>
    <w:rsid w:val="008E2CF6"/>
    <w:rsid w:val="008E6D57"/>
    <w:rsid w:val="008F4BD9"/>
    <w:rsid w:val="008F5137"/>
    <w:rsid w:val="008F5C07"/>
    <w:rsid w:val="008F7118"/>
    <w:rsid w:val="008F77E3"/>
    <w:rsid w:val="008F7CE8"/>
    <w:rsid w:val="00901DA4"/>
    <w:rsid w:val="00902522"/>
    <w:rsid w:val="00902DF2"/>
    <w:rsid w:val="0090408C"/>
    <w:rsid w:val="00904CD1"/>
    <w:rsid w:val="009052FD"/>
    <w:rsid w:val="00906771"/>
    <w:rsid w:val="009069D4"/>
    <w:rsid w:val="00911C05"/>
    <w:rsid w:val="00912497"/>
    <w:rsid w:val="009142AD"/>
    <w:rsid w:val="00916164"/>
    <w:rsid w:val="00916616"/>
    <w:rsid w:val="0091690D"/>
    <w:rsid w:val="00916A79"/>
    <w:rsid w:val="00916BE6"/>
    <w:rsid w:val="00920ED9"/>
    <w:rsid w:val="00920F9E"/>
    <w:rsid w:val="00921EE0"/>
    <w:rsid w:val="00923012"/>
    <w:rsid w:val="009244A1"/>
    <w:rsid w:val="00924E9F"/>
    <w:rsid w:val="0092567A"/>
    <w:rsid w:val="00931B87"/>
    <w:rsid w:val="00933A31"/>
    <w:rsid w:val="009352CB"/>
    <w:rsid w:val="00936997"/>
    <w:rsid w:val="00937F62"/>
    <w:rsid w:val="00937FCF"/>
    <w:rsid w:val="00943062"/>
    <w:rsid w:val="00950C83"/>
    <w:rsid w:val="009515D6"/>
    <w:rsid w:val="00951A84"/>
    <w:rsid w:val="00952A7D"/>
    <w:rsid w:val="00954BBC"/>
    <w:rsid w:val="0095799A"/>
    <w:rsid w:val="00957E23"/>
    <w:rsid w:val="00960688"/>
    <w:rsid w:val="00961435"/>
    <w:rsid w:val="009626D1"/>
    <w:rsid w:val="00962BE4"/>
    <w:rsid w:val="00964190"/>
    <w:rsid w:val="00964627"/>
    <w:rsid w:val="00964631"/>
    <w:rsid w:val="0096468C"/>
    <w:rsid w:val="00966C35"/>
    <w:rsid w:val="009679EC"/>
    <w:rsid w:val="00971456"/>
    <w:rsid w:val="0097274A"/>
    <w:rsid w:val="00973286"/>
    <w:rsid w:val="009734F1"/>
    <w:rsid w:val="009747A2"/>
    <w:rsid w:val="0098249D"/>
    <w:rsid w:val="009856AC"/>
    <w:rsid w:val="00986FB7"/>
    <w:rsid w:val="00987460"/>
    <w:rsid w:val="00987FE4"/>
    <w:rsid w:val="0099038C"/>
    <w:rsid w:val="009926E8"/>
    <w:rsid w:val="00994A9A"/>
    <w:rsid w:val="00995CD3"/>
    <w:rsid w:val="00996711"/>
    <w:rsid w:val="0099755D"/>
    <w:rsid w:val="009A2E97"/>
    <w:rsid w:val="009A4BBE"/>
    <w:rsid w:val="009A4DAA"/>
    <w:rsid w:val="009A61F0"/>
    <w:rsid w:val="009A6A37"/>
    <w:rsid w:val="009A6C5E"/>
    <w:rsid w:val="009A7F11"/>
    <w:rsid w:val="009B4991"/>
    <w:rsid w:val="009B4AF2"/>
    <w:rsid w:val="009B51D9"/>
    <w:rsid w:val="009B5733"/>
    <w:rsid w:val="009B6253"/>
    <w:rsid w:val="009B6DAA"/>
    <w:rsid w:val="009C112A"/>
    <w:rsid w:val="009C5A40"/>
    <w:rsid w:val="009C6AFA"/>
    <w:rsid w:val="009D0F77"/>
    <w:rsid w:val="009D1A8B"/>
    <w:rsid w:val="009D2C04"/>
    <w:rsid w:val="009D497F"/>
    <w:rsid w:val="009D4A06"/>
    <w:rsid w:val="009D57EC"/>
    <w:rsid w:val="009D76C8"/>
    <w:rsid w:val="009E0453"/>
    <w:rsid w:val="009E2639"/>
    <w:rsid w:val="009E2F41"/>
    <w:rsid w:val="009E3EBB"/>
    <w:rsid w:val="009E7704"/>
    <w:rsid w:val="009F0556"/>
    <w:rsid w:val="009F0FB5"/>
    <w:rsid w:val="009F0FE0"/>
    <w:rsid w:val="009F1A8B"/>
    <w:rsid w:val="009F2D5E"/>
    <w:rsid w:val="009F2E95"/>
    <w:rsid w:val="009F339D"/>
    <w:rsid w:val="009F5B0C"/>
    <w:rsid w:val="009F5F12"/>
    <w:rsid w:val="009F6F0A"/>
    <w:rsid w:val="009F7A3A"/>
    <w:rsid w:val="009F7CF6"/>
    <w:rsid w:val="00A00704"/>
    <w:rsid w:val="00A04E0D"/>
    <w:rsid w:val="00A05C8C"/>
    <w:rsid w:val="00A073BA"/>
    <w:rsid w:val="00A07E7C"/>
    <w:rsid w:val="00A11E31"/>
    <w:rsid w:val="00A13157"/>
    <w:rsid w:val="00A15D05"/>
    <w:rsid w:val="00A1675C"/>
    <w:rsid w:val="00A204CC"/>
    <w:rsid w:val="00A21733"/>
    <w:rsid w:val="00A21C7D"/>
    <w:rsid w:val="00A2235D"/>
    <w:rsid w:val="00A258D0"/>
    <w:rsid w:val="00A30525"/>
    <w:rsid w:val="00A317E2"/>
    <w:rsid w:val="00A31FFD"/>
    <w:rsid w:val="00A32F80"/>
    <w:rsid w:val="00A34A15"/>
    <w:rsid w:val="00A35BEC"/>
    <w:rsid w:val="00A40264"/>
    <w:rsid w:val="00A40399"/>
    <w:rsid w:val="00A40BBF"/>
    <w:rsid w:val="00A43510"/>
    <w:rsid w:val="00A4482E"/>
    <w:rsid w:val="00A4562B"/>
    <w:rsid w:val="00A45C67"/>
    <w:rsid w:val="00A4627F"/>
    <w:rsid w:val="00A464C3"/>
    <w:rsid w:val="00A478F0"/>
    <w:rsid w:val="00A47C79"/>
    <w:rsid w:val="00A511DE"/>
    <w:rsid w:val="00A51B46"/>
    <w:rsid w:val="00A520D5"/>
    <w:rsid w:val="00A525D8"/>
    <w:rsid w:val="00A52DEB"/>
    <w:rsid w:val="00A54598"/>
    <w:rsid w:val="00A56C30"/>
    <w:rsid w:val="00A628EA"/>
    <w:rsid w:val="00A67036"/>
    <w:rsid w:val="00A67C4C"/>
    <w:rsid w:val="00A70353"/>
    <w:rsid w:val="00A70721"/>
    <w:rsid w:val="00A72700"/>
    <w:rsid w:val="00A73F79"/>
    <w:rsid w:val="00A745DB"/>
    <w:rsid w:val="00A745ED"/>
    <w:rsid w:val="00A74AD0"/>
    <w:rsid w:val="00A752E8"/>
    <w:rsid w:val="00A75510"/>
    <w:rsid w:val="00A8203A"/>
    <w:rsid w:val="00A8245B"/>
    <w:rsid w:val="00A83404"/>
    <w:rsid w:val="00A83F12"/>
    <w:rsid w:val="00A8415E"/>
    <w:rsid w:val="00A848F4"/>
    <w:rsid w:val="00A91689"/>
    <w:rsid w:val="00A93327"/>
    <w:rsid w:val="00A93548"/>
    <w:rsid w:val="00A954D8"/>
    <w:rsid w:val="00A9572A"/>
    <w:rsid w:val="00A960BF"/>
    <w:rsid w:val="00A96A7E"/>
    <w:rsid w:val="00A970A5"/>
    <w:rsid w:val="00A9710F"/>
    <w:rsid w:val="00A972A3"/>
    <w:rsid w:val="00A97A26"/>
    <w:rsid w:val="00AA1B79"/>
    <w:rsid w:val="00AA34B4"/>
    <w:rsid w:val="00AA4F3C"/>
    <w:rsid w:val="00AA5C2C"/>
    <w:rsid w:val="00AA6B89"/>
    <w:rsid w:val="00AA7551"/>
    <w:rsid w:val="00AB334C"/>
    <w:rsid w:val="00AB4B1E"/>
    <w:rsid w:val="00AC08CF"/>
    <w:rsid w:val="00AC5DE3"/>
    <w:rsid w:val="00AD08B7"/>
    <w:rsid w:val="00AD10FE"/>
    <w:rsid w:val="00AD1664"/>
    <w:rsid w:val="00AD2B1D"/>
    <w:rsid w:val="00AD2BAA"/>
    <w:rsid w:val="00AD5017"/>
    <w:rsid w:val="00AD7929"/>
    <w:rsid w:val="00AE02F0"/>
    <w:rsid w:val="00AE0C1B"/>
    <w:rsid w:val="00AE15AE"/>
    <w:rsid w:val="00AE3A27"/>
    <w:rsid w:val="00AE3AB8"/>
    <w:rsid w:val="00AE3F87"/>
    <w:rsid w:val="00AE4DEB"/>
    <w:rsid w:val="00AE5580"/>
    <w:rsid w:val="00AE5A17"/>
    <w:rsid w:val="00AE5A68"/>
    <w:rsid w:val="00AE7493"/>
    <w:rsid w:val="00AF0995"/>
    <w:rsid w:val="00AF2097"/>
    <w:rsid w:val="00AF22B1"/>
    <w:rsid w:val="00AF2A6B"/>
    <w:rsid w:val="00AF423F"/>
    <w:rsid w:val="00AF59BB"/>
    <w:rsid w:val="00AF5E5C"/>
    <w:rsid w:val="00B009E1"/>
    <w:rsid w:val="00B01B43"/>
    <w:rsid w:val="00B0274C"/>
    <w:rsid w:val="00B0544E"/>
    <w:rsid w:val="00B06588"/>
    <w:rsid w:val="00B10991"/>
    <w:rsid w:val="00B10B91"/>
    <w:rsid w:val="00B130F2"/>
    <w:rsid w:val="00B13CAF"/>
    <w:rsid w:val="00B14D75"/>
    <w:rsid w:val="00B1751F"/>
    <w:rsid w:val="00B178BE"/>
    <w:rsid w:val="00B17D96"/>
    <w:rsid w:val="00B207ED"/>
    <w:rsid w:val="00B211AB"/>
    <w:rsid w:val="00B21546"/>
    <w:rsid w:val="00B22DAD"/>
    <w:rsid w:val="00B236E9"/>
    <w:rsid w:val="00B27784"/>
    <w:rsid w:val="00B3037A"/>
    <w:rsid w:val="00B30746"/>
    <w:rsid w:val="00B307DB"/>
    <w:rsid w:val="00B3191E"/>
    <w:rsid w:val="00B324B6"/>
    <w:rsid w:val="00B3316C"/>
    <w:rsid w:val="00B34BC4"/>
    <w:rsid w:val="00B350EA"/>
    <w:rsid w:val="00B353F1"/>
    <w:rsid w:val="00B35438"/>
    <w:rsid w:val="00B35783"/>
    <w:rsid w:val="00B35F61"/>
    <w:rsid w:val="00B360CC"/>
    <w:rsid w:val="00B37412"/>
    <w:rsid w:val="00B407FB"/>
    <w:rsid w:val="00B415A0"/>
    <w:rsid w:val="00B43968"/>
    <w:rsid w:val="00B43F3A"/>
    <w:rsid w:val="00B4513E"/>
    <w:rsid w:val="00B45FD7"/>
    <w:rsid w:val="00B47362"/>
    <w:rsid w:val="00B47AB8"/>
    <w:rsid w:val="00B54453"/>
    <w:rsid w:val="00B5773E"/>
    <w:rsid w:val="00B57AF3"/>
    <w:rsid w:val="00B61DF2"/>
    <w:rsid w:val="00B628EE"/>
    <w:rsid w:val="00B63B85"/>
    <w:rsid w:val="00B64FE5"/>
    <w:rsid w:val="00B66EF6"/>
    <w:rsid w:val="00B6745E"/>
    <w:rsid w:val="00B71D7D"/>
    <w:rsid w:val="00B71E7D"/>
    <w:rsid w:val="00B72FE0"/>
    <w:rsid w:val="00B73780"/>
    <w:rsid w:val="00B74863"/>
    <w:rsid w:val="00B7490C"/>
    <w:rsid w:val="00B74F04"/>
    <w:rsid w:val="00B76884"/>
    <w:rsid w:val="00B8005D"/>
    <w:rsid w:val="00B82D07"/>
    <w:rsid w:val="00B83112"/>
    <w:rsid w:val="00B83624"/>
    <w:rsid w:val="00B84628"/>
    <w:rsid w:val="00B85FA4"/>
    <w:rsid w:val="00B869A6"/>
    <w:rsid w:val="00B87CC9"/>
    <w:rsid w:val="00B9227B"/>
    <w:rsid w:val="00B92C06"/>
    <w:rsid w:val="00B93B6A"/>
    <w:rsid w:val="00B952FB"/>
    <w:rsid w:val="00B9537B"/>
    <w:rsid w:val="00B967E9"/>
    <w:rsid w:val="00B96F13"/>
    <w:rsid w:val="00BA02FC"/>
    <w:rsid w:val="00BA0E39"/>
    <w:rsid w:val="00BA17C0"/>
    <w:rsid w:val="00BA3A9F"/>
    <w:rsid w:val="00BB2632"/>
    <w:rsid w:val="00BB37E2"/>
    <w:rsid w:val="00BB4087"/>
    <w:rsid w:val="00BB465C"/>
    <w:rsid w:val="00BB4926"/>
    <w:rsid w:val="00BB5DE6"/>
    <w:rsid w:val="00BB6227"/>
    <w:rsid w:val="00BB6456"/>
    <w:rsid w:val="00BC21B8"/>
    <w:rsid w:val="00BC3D3F"/>
    <w:rsid w:val="00BC424B"/>
    <w:rsid w:val="00BC4C6C"/>
    <w:rsid w:val="00BC5613"/>
    <w:rsid w:val="00BC59F9"/>
    <w:rsid w:val="00BC7A7B"/>
    <w:rsid w:val="00BD02BE"/>
    <w:rsid w:val="00BD0A2B"/>
    <w:rsid w:val="00BD0C13"/>
    <w:rsid w:val="00BD15E6"/>
    <w:rsid w:val="00BD1914"/>
    <w:rsid w:val="00BD3F9D"/>
    <w:rsid w:val="00BD5E8B"/>
    <w:rsid w:val="00BD65B0"/>
    <w:rsid w:val="00BD74DB"/>
    <w:rsid w:val="00BE0364"/>
    <w:rsid w:val="00BE03BE"/>
    <w:rsid w:val="00BE0BC3"/>
    <w:rsid w:val="00BE1797"/>
    <w:rsid w:val="00BE1FC1"/>
    <w:rsid w:val="00BE324C"/>
    <w:rsid w:val="00BE3A9B"/>
    <w:rsid w:val="00BE4563"/>
    <w:rsid w:val="00BE4C44"/>
    <w:rsid w:val="00BE4DD0"/>
    <w:rsid w:val="00BE6FA4"/>
    <w:rsid w:val="00BE74F3"/>
    <w:rsid w:val="00BE7B62"/>
    <w:rsid w:val="00BF17D0"/>
    <w:rsid w:val="00BF486F"/>
    <w:rsid w:val="00BF5689"/>
    <w:rsid w:val="00BF7262"/>
    <w:rsid w:val="00C01272"/>
    <w:rsid w:val="00C02E34"/>
    <w:rsid w:val="00C04844"/>
    <w:rsid w:val="00C05585"/>
    <w:rsid w:val="00C06839"/>
    <w:rsid w:val="00C07B33"/>
    <w:rsid w:val="00C1006B"/>
    <w:rsid w:val="00C10275"/>
    <w:rsid w:val="00C104D8"/>
    <w:rsid w:val="00C139CA"/>
    <w:rsid w:val="00C142A4"/>
    <w:rsid w:val="00C14C74"/>
    <w:rsid w:val="00C1578B"/>
    <w:rsid w:val="00C16B37"/>
    <w:rsid w:val="00C17103"/>
    <w:rsid w:val="00C2176E"/>
    <w:rsid w:val="00C21F20"/>
    <w:rsid w:val="00C2267E"/>
    <w:rsid w:val="00C22AD8"/>
    <w:rsid w:val="00C22AE5"/>
    <w:rsid w:val="00C22CB5"/>
    <w:rsid w:val="00C24D4A"/>
    <w:rsid w:val="00C2649B"/>
    <w:rsid w:val="00C30630"/>
    <w:rsid w:val="00C30BB3"/>
    <w:rsid w:val="00C33540"/>
    <w:rsid w:val="00C34C29"/>
    <w:rsid w:val="00C41DC8"/>
    <w:rsid w:val="00C420D1"/>
    <w:rsid w:val="00C42201"/>
    <w:rsid w:val="00C4220F"/>
    <w:rsid w:val="00C42B5D"/>
    <w:rsid w:val="00C43310"/>
    <w:rsid w:val="00C437FD"/>
    <w:rsid w:val="00C43DAC"/>
    <w:rsid w:val="00C43E9C"/>
    <w:rsid w:val="00C44F92"/>
    <w:rsid w:val="00C45E99"/>
    <w:rsid w:val="00C46481"/>
    <w:rsid w:val="00C529B1"/>
    <w:rsid w:val="00C5397E"/>
    <w:rsid w:val="00C53E67"/>
    <w:rsid w:val="00C5481F"/>
    <w:rsid w:val="00C552FE"/>
    <w:rsid w:val="00C55509"/>
    <w:rsid w:val="00C55903"/>
    <w:rsid w:val="00C603D9"/>
    <w:rsid w:val="00C60D0B"/>
    <w:rsid w:val="00C612C5"/>
    <w:rsid w:val="00C61330"/>
    <w:rsid w:val="00C615D9"/>
    <w:rsid w:val="00C620C8"/>
    <w:rsid w:val="00C658F2"/>
    <w:rsid w:val="00C66298"/>
    <w:rsid w:val="00C66376"/>
    <w:rsid w:val="00C67BA6"/>
    <w:rsid w:val="00C7260E"/>
    <w:rsid w:val="00C73A73"/>
    <w:rsid w:val="00C74A36"/>
    <w:rsid w:val="00C75762"/>
    <w:rsid w:val="00C75841"/>
    <w:rsid w:val="00C8154F"/>
    <w:rsid w:val="00C827FD"/>
    <w:rsid w:val="00C82D94"/>
    <w:rsid w:val="00C841F9"/>
    <w:rsid w:val="00C852FF"/>
    <w:rsid w:val="00C871CD"/>
    <w:rsid w:val="00C87EEF"/>
    <w:rsid w:val="00C91222"/>
    <w:rsid w:val="00C915C5"/>
    <w:rsid w:val="00C94748"/>
    <w:rsid w:val="00C9592A"/>
    <w:rsid w:val="00CA045B"/>
    <w:rsid w:val="00CA1D11"/>
    <w:rsid w:val="00CA3DD3"/>
    <w:rsid w:val="00CA4968"/>
    <w:rsid w:val="00CA5FE0"/>
    <w:rsid w:val="00CA6457"/>
    <w:rsid w:val="00CA6EF3"/>
    <w:rsid w:val="00CA7297"/>
    <w:rsid w:val="00CB1157"/>
    <w:rsid w:val="00CB14D9"/>
    <w:rsid w:val="00CB27AC"/>
    <w:rsid w:val="00CB2A28"/>
    <w:rsid w:val="00CC2268"/>
    <w:rsid w:val="00CC2D6F"/>
    <w:rsid w:val="00CC3CE2"/>
    <w:rsid w:val="00CC3E9E"/>
    <w:rsid w:val="00CD18C5"/>
    <w:rsid w:val="00CD334F"/>
    <w:rsid w:val="00CD669D"/>
    <w:rsid w:val="00CD6DC3"/>
    <w:rsid w:val="00CE0EC3"/>
    <w:rsid w:val="00CE25A1"/>
    <w:rsid w:val="00CE41FF"/>
    <w:rsid w:val="00CE487E"/>
    <w:rsid w:val="00CE53CC"/>
    <w:rsid w:val="00CE648E"/>
    <w:rsid w:val="00CE6A2C"/>
    <w:rsid w:val="00CF10D1"/>
    <w:rsid w:val="00CF3855"/>
    <w:rsid w:val="00CF4BFE"/>
    <w:rsid w:val="00CF5322"/>
    <w:rsid w:val="00CF572D"/>
    <w:rsid w:val="00CF5759"/>
    <w:rsid w:val="00CF5AAF"/>
    <w:rsid w:val="00CF5C16"/>
    <w:rsid w:val="00CF63FE"/>
    <w:rsid w:val="00CF79E3"/>
    <w:rsid w:val="00D0147F"/>
    <w:rsid w:val="00D01DCC"/>
    <w:rsid w:val="00D021D0"/>
    <w:rsid w:val="00D02756"/>
    <w:rsid w:val="00D02841"/>
    <w:rsid w:val="00D065EC"/>
    <w:rsid w:val="00D10A0F"/>
    <w:rsid w:val="00D11427"/>
    <w:rsid w:val="00D124C1"/>
    <w:rsid w:val="00D135BE"/>
    <w:rsid w:val="00D13B80"/>
    <w:rsid w:val="00D14398"/>
    <w:rsid w:val="00D14B4F"/>
    <w:rsid w:val="00D168C4"/>
    <w:rsid w:val="00D17460"/>
    <w:rsid w:val="00D17DCF"/>
    <w:rsid w:val="00D203E3"/>
    <w:rsid w:val="00D20A94"/>
    <w:rsid w:val="00D21DAA"/>
    <w:rsid w:val="00D222EC"/>
    <w:rsid w:val="00D224E6"/>
    <w:rsid w:val="00D236CF"/>
    <w:rsid w:val="00D25619"/>
    <w:rsid w:val="00D26141"/>
    <w:rsid w:val="00D2717A"/>
    <w:rsid w:val="00D31DBF"/>
    <w:rsid w:val="00D34BB3"/>
    <w:rsid w:val="00D356C3"/>
    <w:rsid w:val="00D37049"/>
    <w:rsid w:val="00D42B5D"/>
    <w:rsid w:val="00D435AB"/>
    <w:rsid w:val="00D4369F"/>
    <w:rsid w:val="00D4593E"/>
    <w:rsid w:val="00D4602D"/>
    <w:rsid w:val="00D470A0"/>
    <w:rsid w:val="00D47BE6"/>
    <w:rsid w:val="00D5342F"/>
    <w:rsid w:val="00D535FE"/>
    <w:rsid w:val="00D53F77"/>
    <w:rsid w:val="00D545B3"/>
    <w:rsid w:val="00D60A13"/>
    <w:rsid w:val="00D61791"/>
    <w:rsid w:val="00D637A8"/>
    <w:rsid w:val="00D64073"/>
    <w:rsid w:val="00D642FA"/>
    <w:rsid w:val="00D64E98"/>
    <w:rsid w:val="00D65702"/>
    <w:rsid w:val="00D65BB4"/>
    <w:rsid w:val="00D67864"/>
    <w:rsid w:val="00D67D61"/>
    <w:rsid w:val="00D70AB9"/>
    <w:rsid w:val="00D71ED8"/>
    <w:rsid w:val="00D72CFB"/>
    <w:rsid w:val="00D73841"/>
    <w:rsid w:val="00D74B8F"/>
    <w:rsid w:val="00D8088C"/>
    <w:rsid w:val="00D80F94"/>
    <w:rsid w:val="00D81430"/>
    <w:rsid w:val="00D8349F"/>
    <w:rsid w:val="00D8727E"/>
    <w:rsid w:val="00D91C0B"/>
    <w:rsid w:val="00D95167"/>
    <w:rsid w:val="00D97107"/>
    <w:rsid w:val="00DA025E"/>
    <w:rsid w:val="00DA1836"/>
    <w:rsid w:val="00DA29A7"/>
    <w:rsid w:val="00DA5B78"/>
    <w:rsid w:val="00DA5CD7"/>
    <w:rsid w:val="00DA7E89"/>
    <w:rsid w:val="00DB1E8D"/>
    <w:rsid w:val="00DB4017"/>
    <w:rsid w:val="00DB770E"/>
    <w:rsid w:val="00DC0189"/>
    <w:rsid w:val="00DC11F5"/>
    <w:rsid w:val="00DC19AF"/>
    <w:rsid w:val="00DC4D9D"/>
    <w:rsid w:val="00DC760B"/>
    <w:rsid w:val="00DC78A5"/>
    <w:rsid w:val="00DD3BBF"/>
    <w:rsid w:val="00DD7BC7"/>
    <w:rsid w:val="00DE0457"/>
    <w:rsid w:val="00DE0548"/>
    <w:rsid w:val="00DE126D"/>
    <w:rsid w:val="00DE2DBB"/>
    <w:rsid w:val="00DE5E1F"/>
    <w:rsid w:val="00DE61FF"/>
    <w:rsid w:val="00DE6798"/>
    <w:rsid w:val="00DF0009"/>
    <w:rsid w:val="00DF1F3F"/>
    <w:rsid w:val="00DF277E"/>
    <w:rsid w:val="00DF2795"/>
    <w:rsid w:val="00DF2EC8"/>
    <w:rsid w:val="00DF3EE8"/>
    <w:rsid w:val="00DF5638"/>
    <w:rsid w:val="00DF5696"/>
    <w:rsid w:val="00DF5705"/>
    <w:rsid w:val="00DF7183"/>
    <w:rsid w:val="00DF72CE"/>
    <w:rsid w:val="00E05F20"/>
    <w:rsid w:val="00E06240"/>
    <w:rsid w:val="00E0637A"/>
    <w:rsid w:val="00E07B06"/>
    <w:rsid w:val="00E10DB7"/>
    <w:rsid w:val="00E1260F"/>
    <w:rsid w:val="00E14381"/>
    <w:rsid w:val="00E15885"/>
    <w:rsid w:val="00E15AB6"/>
    <w:rsid w:val="00E15B55"/>
    <w:rsid w:val="00E21783"/>
    <w:rsid w:val="00E21E4C"/>
    <w:rsid w:val="00E237D2"/>
    <w:rsid w:val="00E274D9"/>
    <w:rsid w:val="00E30C31"/>
    <w:rsid w:val="00E30CF6"/>
    <w:rsid w:val="00E30D61"/>
    <w:rsid w:val="00E33B29"/>
    <w:rsid w:val="00E405C3"/>
    <w:rsid w:val="00E434CC"/>
    <w:rsid w:val="00E447C7"/>
    <w:rsid w:val="00E51EBB"/>
    <w:rsid w:val="00E53072"/>
    <w:rsid w:val="00E5543D"/>
    <w:rsid w:val="00E603DD"/>
    <w:rsid w:val="00E619AE"/>
    <w:rsid w:val="00E622DB"/>
    <w:rsid w:val="00E64F20"/>
    <w:rsid w:val="00E66744"/>
    <w:rsid w:val="00E66EDD"/>
    <w:rsid w:val="00E67038"/>
    <w:rsid w:val="00E671D3"/>
    <w:rsid w:val="00E70C08"/>
    <w:rsid w:val="00E71B31"/>
    <w:rsid w:val="00E71ECE"/>
    <w:rsid w:val="00E739A6"/>
    <w:rsid w:val="00E75DEA"/>
    <w:rsid w:val="00E76381"/>
    <w:rsid w:val="00E76B77"/>
    <w:rsid w:val="00E778F0"/>
    <w:rsid w:val="00E8413D"/>
    <w:rsid w:val="00E85BC3"/>
    <w:rsid w:val="00E87432"/>
    <w:rsid w:val="00E902BD"/>
    <w:rsid w:val="00E90419"/>
    <w:rsid w:val="00E91325"/>
    <w:rsid w:val="00E914C3"/>
    <w:rsid w:val="00E92555"/>
    <w:rsid w:val="00E93BE1"/>
    <w:rsid w:val="00E9413F"/>
    <w:rsid w:val="00E947D6"/>
    <w:rsid w:val="00E97882"/>
    <w:rsid w:val="00E97B9E"/>
    <w:rsid w:val="00EA095C"/>
    <w:rsid w:val="00EA0FE8"/>
    <w:rsid w:val="00EA2591"/>
    <w:rsid w:val="00EA2AB7"/>
    <w:rsid w:val="00EA2EF0"/>
    <w:rsid w:val="00EA45AE"/>
    <w:rsid w:val="00EA47ED"/>
    <w:rsid w:val="00EA4A8E"/>
    <w:rsid w:val="00EA7C51"/>
    <w:rsid w:val="00EB0427"/>
    <w:rsid w:val="00EB0F79"/>
    <w:rsid w:val="00EB1426"/>
    <w:rsid w:val="00EB1CB6"/>
    <w:rsid w:val="00EB270E"/>
    <w:rsid w:val="00EB3B68"/>
    <w:rsid w:val="00EB6666"/>
    <w:rsid w:val="00EB78F6"/>
    <w:rsid w:val="00EC00BF"/>
    <w:rsid w:val="00EC198A"/>
    <w:rsid w:val="00EC4081"/>
    <w:rsid w:val="00EC41C7"/>
    <w:rsid w:val="00EC4594"/>
    <w:rsid w:val="00EC4EAA"/>
    <w:rsid w:val="00EC5996"/>
    <w:rsid w:val="00EC615B"/>
    <w:rsid w:val="00ED0AD9"/>
    <w:rsid w:val="00ED223E"/>
    <w:rsid w:val="00ED25BE"/>
    <w:rsid w:val="00ED2A0F"/>
    <w:rsid w:val="00ED2FF6"/>
    <w:rsid w:val="00ED32A9"/>
    <w:rsid w:val="00ED3905"/>
    <w:rsid w:val="00ED3CCD"/>
    <w:rsid w:val="00ED4102"/>
    <w:rsid w:val="00ED41F7"/>
    <w:rsid w:val="00ED49D9"/>
    <w:rsid w:val="00ED6C8A"/>
    <w:rsid w:val="00ED6F79"/>
    <w:rsid w:val="00EE02E2"/>
    <w:rsid w:val="00EE0851"/>
    <w:rsid w:val="00EE52D1"/>
    <w:rsid w:val="00EF0BA2"/>
    <w:rsid w:val="00EF2270"/>
    <w:rsid w:val="00EF2379"/>
    <w:rsid w:val="00EF3501"/>
    <w:rsid w:val="00EF3835"/>
    <w:rsid w:val="00EF4684"/>
    <w:rsid w:val="00EF4895"/>
    <w:rsid w:val="00EF64FA"/>
    <w:rsid w:val="00EF685E"/>
    <w:rsid w:val="00EF717F"/>
    <w:rsid w:val="00EF7F0F"/>
    <w:rsid w:val="00F00C1D"/>
    <w:rsid w:val="00F00D7C"/>
    <w:rsid w:val="00F02BB1"/>
    <w:rsid w:val="00F02F42"/>
    <w:rsid w:val="00F03FE1"/>
    <w:rsid w:val="00F04347"/>
    <w:rsid w:val="00F04568"/>
    <w:rsid w:val="00F05644"/>
    <w:rsid w:val="00F1260A"/>
    <w:rsid w:val="00F13D4F"/>
    <w:rsid w:val="00F1428C"/>
    <w:rsid w:val="00F14A04"/>
    <w:rsid w:val="00F154B4"/>
    <w:rsid w:val="00F2330A"/>
    <w:rsid w:val="00F2367B"/>
    <w:rsid w:val="00F2518F"/>
    <w:rsid w:val="00F25BA2"/>
    <w:rsid w:val="00F314D8"/>
    <w:rsid w:val="00F31C48"/>
    <w:rsid w:val="00F322FD"/>
    <w:rsid w:val="00F32304"/>
    <w:rsid w:val="00F34A94"/>
    <w:rsid w:val="00F363FC"/>
    <w:rsid w:val="00F36B00"/>
    <w:rsid w:val="00F36E89"/>
    <w:rsid w:val="00F36EE5"/>
    <w:rsid w:val="00F3700B"/>
    <w:rsid w:val="00F40F8C"/>
    <w:rsid w:val="00F41457"/>
    <w:rsid w:val="00F41F1B"/>
    <w:rsid w:val="00F4275A"/>
    <w:rsid w:val="00F42E77"/>
    <w:rsid w:val="00F431E3"/>
    <w:rsid w:val="00F45BF0"/>
    <w:rsid w:val="00F50FCC"/>
    <w:rsid w:val="00F5229B"/>
    <w:rsid w:val="00F524A8"/>
    <w:rsid w:val="00F52E48"/>
    <w:rsid w:val="00F54D53"/>
    <w:rsid w:val="00F55348"/>
    <w:rsid w:val="00F55A5D"/>
    <w:rsid w:val="00F577B8"/>
    <w:rsid w:val="00F64161"/>
    <w:rsid w:val="00F64E98"/>
    <w:rsid w:val="00F67C19"/>
    <w:rsid w:val="00F7248E"/>
    <w:rsid w:val="00F74BF8"/>
    <w:rsid w:val="00F74E28"/>
    <w:rsid w:val="00F769AC"/>
    <w:rsid w:val="00F770B9"/>
    <w:rsid w:val="00F800C1"/>
    <w:rsid w:val="00F809AB"/>
    <w:rsid w:val="00F86881"/>
    <w:rsid w:val="00F87183"/>
    <w:rsid w:val="00F87850"/>
    <w:rsid w:val="00F905A0"/>
    <w:rsid w:val="00F90D3C"/>
    <w:rsid w:val="00F92099"/>
    <w:rsid w:val="00F9219B"/>
    <w:rsid w:val="00F942CA"/>
    <w:rsid w:val="00F94531"/>
    <w:rsid w:val="00F94B70"/>
    <w:rsid w:val="00F9765C"/>
    <w:rsid w:val="00FA01FD"/>
    <w:rsid w:val="00FA0F08"/>
    <w:rsid w:val="00FA13C0"/>
    <w:rsid w:val="00FA2C04"/>
    <w:rsid w:val="00FA32D2"/>
    <w:rsid w:val="00FA3F37"/>
    <w:rsid w:val="00FB0C92"/>
    <w:rsid w:val="00FB17DC"/>
    <w:rsid w:val="00FB2AE7"/>
    <w:rsid w:val="00FB3356"/>
    <w:rsid w:val="00FB3361"/>
    <w:rsid w:val="00FB3D75"/>
    <w:rsid w:val="00FB7A27"/>
    <w:rsid w:val="00FC0ABB"/>
    <w:rsid w:val="00FC4331"/>
    <w:rsid w:val="00FC44BB"/>
    <w:rsid w:val="00FD169D"/>
    <w:rsid w:val="00FD237B"/>
    <w:rsid w:val="00FD26F2"/>
    <w:rsid w:val="00FD4215"/>
    <w:rsid w:val="00FD7575"/>
    <w:rsid w:val="00FE03A1"/>
    <w:rsid w:val="00FE3BB3"/>
    <w:rsid w:val="00FE4444"/>
    <w:rsid w:val="00FE55D6"/>
    <w:rsid w:val="00FE7892"/>
    <w:rsid w:val="00FF180E"/>
    <w:rsid w:val="00FF1FC9"/>
    <w:rsid w:val="00FF294D"/>
    <w:rsid w:val="00FF2DFF"/>
    <w:rsid w:val="00FF44CD"/>
    <w:rsid w:val="00FF51D4"/>
    <w:rsid w:val="00FF5D8B"/>
    <w:rsid w:val="00FF6E0A"/>
    <w:rsid w:val="04345535"/>
    <w:rsid w:val="05BB785D"/>
    <w:rsid w:val="0725173E"/>
    <w:rsid w:val="0A575DBD"/>
    <w:rsid w:val="10533D66"/>
    <w:rsid w:val="114E0B46"/>
    <w:rsid w:val="137D2D49"/>
    <w:rsid w:val="1B6C5494"/>
    <w:rsid w:val="21E004B3"/>
    <w:rsid w:val="21F436AD"/>
    <w:rsid w:val="24E21327"/>
    <w:rsid w:val="296C05DF"/>
    <w:rsid w:val="6221636B"/>
    <w:rsid w:val="6BBC7612"/>
    <w:rsid w:val="70C2535E"/>
    <w:rsid w:val="7FD0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90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uiPriority="39" w:unhideWhenUsed="0"/>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eastAsia="黑体"/>
      <w:bCs/>
      <w:kern w:val="44"/>
      <w:sz w:val="30"/>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libri Light" w:eastAsia="黑体" w:hAnsi="Calibri Light"/>
      <w:bCs/>
      <w:kern w:val="0"/>
      <w:sz w:val="28"/>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kern w:val="0"/>
      <w:sz w:val="32"/>
      <w:szCs w:val="32"/>
    </w:rPr>
  </w:style>
  <w:style w:type="paragraph" w:styleId="4">
    <w:name w:val="heading 4"/>
    <w:basedOn w:val="a"/>
    <w:next w:val="a"/>
    <w:link w:val="4Char"/>
    <w:uiPriority w:val="9"/>
    <w:unhideWhenUsed/>
    <w:qFormat/>
    <w:pPr>
      <w:keepNext/>
      <w:widowControl/>
      <w:spacing w:before="240" w:after="60"/>
      <w:jc w:val="left"/>
      <w:outlineLvl w:val="3"/>
    </w:pPr>
    <w:rPr>
      <w:rFonts w:ascii="Calibri" w:hAnsi="Calibri"/>
      <w:b/>
      <w:bCs/>
      <w:kern w:val="0"/>
      <w:sz w:val="28"/>
      <w:szCs w:val="28"/>
    </w:rPr>
  </w:style>
  <w:style w:type="paragraph" w:styleId="5">
    <w:name w:val="heading 5"/>
    <w:basedOn w:val="a"/>
    <w:next w:val="a"/>
    <w:link w:val="5Char"/>
    <w:uiPriority w:val="9"/>
    <w:unhideWhenUsed/>
    <w:qFormat/>
    <w:pPr>
      <w:widowControl/>
      <w:spacing w:before="240" w:after="60"/>
      <w:jc w:val="left"/>
      <w:outlineLvl w:val="4"/>
    </w:pPr>
    <w:rPr>
      <w:rFonts w:ascii="Calibri" w:hAnsi="Calibri"/>
      <w:b/>
      <w:bCs/>
      <w:i/>
      <w:iCs/>
      <w:kern w:val="0"/>
      <w:sz w:val="26"/>
      <w:szCs w:val="26"/>
    </w:rPr>
  </w:style>
  <w:style w:type="paragraph" w:styleId="6">
    <w:name w:val="heading 6"/>
    <w:basedOn w:val="a"/>
    <w:next w:val="a"/>
    <w:link w:val="6Char"/>
    <w:uiPriority w:val="9"/>
    <w:unhideWhenUsed/>
    <w:qFormat/>
    <w:pPr>
      <w:widowControl/>
      <w:spacing w:before="240" w:after="60"/>
      <w:jc w:val="left"/>
      <w:outlineLvl w:val="5"/>
    </w:pPr>
    <w:rPr>
      <w:rFonts w:ascii="Calibri" w:hAnsi="Calibri"/>
      <w:b/>
      <w:bCs/>
      <w:kern w:val="0"/>
      <w:sz w:val="22"/>
      <w:szCs w:val="20"/>
    </w:rPr>
  </w:style>
  <w:style w:type="paragraph" w:styleId="7">
    <w:name w:val="heading 7"/>
    <w:basedOn w:val="a"/>
    <w:next w:val="a"/>
    <w:link w:val="7Char"/>
    <w:uiPriority w:val="9"/>
    <w:unhideWhenUsed/>
    <w:qFormat/>
    <w:pPr>
      <w:widowControl/>
      <w:spacing w:before="240" w:after="60"/>
      <w:jc w:val="left"/>
      <w:outlineLvl w:val="6"/>
    </w:pPr>
    <w:rPr>
      <w:rFonts w:ascii="Calibri" w:hAnsi="Calibri"/>
      <w:kern w:val="0"/>
      <w:sz w:val="24"/>
    </w:rPr>
  </w:style>
  <w:style w:type="paragraph" w:styleId="8">
    <w:name w:val="heading 8"/>
    <w:basedOn w:val="a"/>
    <w:next w:val="a"/>
    <w:link w:val="8Char"/>
    <w:uiPriority w:val="9"/>
    <w:unhideWhenUsed/>
    <w:qFormat/>
    <w:pPr>
      <w:widowControl/>
      <w:spacing w:before="240" w:after="60"/>
      <w:jc w:val="left"/>
      <w:outlineLvl w:val="7"/>
    </w:pPr>
    <w:rPr>
      <w:rFonts w:ascii="Calibri" w:hAnsi="Calibri"/>
      <w:i/>
      <w:iCs/>
      <w:kern w:val="0"/>
      <w:sz w:val="24"/>
    </w:rPr>
  </w:style>
  <w:style w:type="paragraph" w:styleId="9">
    <w:name w:val="heading 9"/>
    <w:basedOn w:val="a"/>
    <w:next w:val="a"/>
    <w:link w:val="9Char"/>
    <w:uiPriority w:val="9"/>
    <w:unhideWhenUsed/>
    <w:qFormat/>
    <w:pPr>
      <w:widowControl/>
      <w:spacing w:before="240" w:after="60"/>
      <w:jc w:val="left"/>
      <w:outlineLvl w:val="8"/>
    </w:pPr>
    <w:rPr>
      <w:rFonts w:ascii="Calibri Light" w:hAnsi="Calibri Light"/>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rPr>
      <w:rFonts w:ascii="Times New Roman" w:eastAsia="黑体" w:hAnsi="Times New Roman" w:cs="Times New Roman"/>
      <w:bCs/>
      <w:kern w:val="44"/>
      <w:sz w:val="30"/>
      <w:szCs w:val="44"/>
    </w:rPr>
  </w:style>
  <w:style w:type="character" w:customStyle="1" w:styleId="2Char">
    <w:name w:val="标题 2 Char"/>
    <w:link w:val="2"/>
    <w:uiPriority w:val="9"/>
    <w:qFormat/>
    <w:rPr>
      <w:rFonts w:ascii="Calibri Light" w:eastAsia="黑体" w:hAnsi="Calibri Light" w:cs="Times New Roman"/>
      <w:bCs/>
      <w:sz w:val="28"/>
      <w:szCs w:val="32"/>
    </w:rPr>
  </w:style>
  <w:style w:type="character" w:customStyle="1" w:styleId="3Char">
    <w:name w:val="标题 3 Char"/>
    <w:link w:val="3"/>
    <w:uiPriority w:val="9"/>
    <w:qFormat/>
    <w:rPr>
      <w:rFonts w:ascii="Times New Roman" w:eastAsia="宋体" w:hAnsi="Times New Roman" w:cs="Times New Roman"/>
      <w:b/>
      <w:bCs/>
      <w:sz w:val="32"/>
      <w:szCs w:val="32"/>
    </w:rPr>
  </w:style>
  <w:style w:type="character" w:customStyle="1" w:styleId="4Char">
    <w:name w:val="标题 4 Char"/>
    <w:link w:val="4"/>
    <w:uiPriority w:val="9"/>
    <w:qFormat/>
    <w:rPr>
      <w:rFonts w:cs="Times New Roman"/>
      <w:b/>
      <w:bCs/>
      <w:kern w:val="0"/>
      <w:sz w:val="28"/>
      <w:szCs w:val="28"/>
    </w:rPr>
  </w:style>
  <w:style w:type="character" w:customStyle="1" w:styleId="5Char">
    <w:name w:val="标题 5 Char"/>
    <w:link w:val="5"/>
    <w:uiPriority w:val="9"/>
    <w:qFormat/>
    <w:rPr>
      <w:rFonts w:cs="Times New Roman"/>
      <w:b/>
      <w:bCs/>
      <w:i/>
      <w:iCs/>
      <w:kern w:val="0"/>
      <w:sz w:val="26"/>
      <w:szCs w:val="26"/>
    </w:rPr>
  </w:style>
  <w:style w:type="character" w:customStyle="1" w:styleId="6Char">
    <w:name w:val="标题 6 Char"/>
    <w:link w:val="6"/>
    <w:uiPriority w:val="9"/>
    <w:qFormat/>
    <w:rPr>
      <w:rFonts w:cs="Times New Roman"/>
      <w:b/>
      <w:bCs/>
      <w:kern w:val="0"/>
      <w:sz w:val="22"/>
    </w:rPr>
  </w:style>
  <w:style w:type="character" w:customStyle="1" w:styleId="7Char">
    <w:name w:val="标题 7 Char"/>
    <w:link w:val="7"/>
    <w:uiPriority w:val="9"/>
    <w:qFormat/>
    <w:rPr>
      <w:rFonts w:cs="Times New Roman"/>
      <w:kern w:val="0"/>
      <w:sz w:val="24"/>
      <w:szCs w:val="24"/>
    </w:rPr>
  </w:style>
  <w:style w:type="character" w:customStyle="1" w:styleId="8Char">
    <w:name w:val="标题 8 Char"/>
    <w:link w:val="8"/>
    <w:uiPriority w:val="9"/>
    <w:qFormat/>
    <w:rPr>
      <w:rFonts w:cs="Times New Roman"/>
      <w:i/>
      <w:iCs/>
      <w:kern w:val="0"/>
      <w:sz w:val="24"/>
      <w:szCs w:val="24"/>
    </w:rPr>
  </w:style>
  <w:style w:type="character" w:customStyle="1" w:styleId="9Char">
    <w:name w:val="标题 9 Char"/>
    <w:link w:val="9"/>
    <w:uiPriority w:val="9"/>
    <w:qFormat/>
    <w:rPr>
      <w:rFonts w:ascii="Calibri Light" w:eastAsia="宋体" w:hAnsi="Calibri Light" w:cs="Times New Roman"/>
      <w:kern w:val="0"/>
      <w:sz w:val="22"/>
    </w:rPr>
  </w:style>
  <w:style w:type="paragraph" w:styleId="70">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Normal Indent"/>
    <w:basedOn w:val="a"/>
    <w:uiPriority w:val="99"/>
    <w:semiHidden/>
    <w:unhideWhenUsed/>
    <w:qFormat/>
    <w:pPr>
      <w:widowControl/>
      <w:ind w:firstLineChars="200" w:firstLine="420"/>
      <w:jc w:val="left"/>
    </w:pPr>
    <w:rPr>
      <w:rFonts w:ascii="Calibri" w:hAnsi="Calibri"/>
      <w:kern w:val="0"/>
      <w:sz w:val="24"/>
    </w:rPr>
  </w:style>
  <w:style w:type="paragraph" w:styleId="a4">
    <w:name w:val="caption"/>
    <w:basedOn w:val="a"/>
    <w:next w:val="a"/>
    <w:uiPriority w:val="35"/>
    <w:unhideWhenUsed/>
    <w:qFormat/>
    <w:pPr>
      <w:spacing w:line="400" w:lineRule="atLeast"/>
      <w:ind w:firstLineChars="200" w:firstLine="560"/>
      <w:jc w:val="left"/>
    </w:pPr>
    <w:rPr>
      <w:rFonts w:ascii="Calibri Light" w:eastAsia="黑体" w:hAnsi="Calibri Light"/>
      <w:sz w:val="20"/>
      <w:szCs w:val="20"/>
    </w:rPr>
  </w:style>
  <w:style w:type="paragraph" w:styleId="a5">
    <w:name w:val="Document Map"/>
    <w:basedOn w:val="a"/>
    <w:link w:val="Char"/>
    <w:uiPriority w:val="99"/>
    <w:unhideWhenUsed/>
    <w:qFormat/>
    <w:rPr>
      <w:rFonts w:ascii="宋体" w:hAnsi="Calibri"/>
      <w:sz w:val="18"/>
      <w:szCs w:val="18"/>
    </w:rPr>
  </w:style>
  <w:style w:type="character" w:customStyle="1" w:styleId="Char">
    <w:name w:val="文档结构图 Char"/>
    <w:link w:val="a5"/>
    <w:uiPriority w:val="99"/>
    <w:rPr>
      <w:rFonts w:ascii="宋体"/>
      <w:kern w:val="2"/>
      <w:sz w:val="18"/>
      <w:szCs w:val="18"/>
    </w:rPr>
  </w:style>
  <w:style w:type="paragraph" w:styleId="a6">
    <w:name w:val="annotation text"/>
    <w:basedOn w:val="a"/>
    <w:link w:val="Char0"/>
    <w:uiPriority w:val="99"/>
    <w:unhideWhenUsed/>
    <w:qFormat/>
    <w:pPr>
      <w:widowControl/>
      <w:jc w:val="left"/>
    </w:pPr>
    <w:rPr>
      <w:rFonts w:ascii="Calibri" w:hAnsi="Calibri"/>
      <w:kern w:val="0"/>
      <w:sz w:val="24"/>
    </w:rPr>
  </w:style>
  <w:style w:type="character" w:customStyle="1" w:styleId="Char0">
    <w:name w:val="批注文字 Char"/>
    <w:link w:val="a6"/>
    <w:uiPriority w:val="99"/>
    <w:semiHidden/>
    <w:qFormat/>
    <w:rPr>
      <w:rFonts w:cs="Times New Roman"/>
      <w:kern w:val="0"/>
      <w:sz w:val="24"/>
      <w:szCs w:val="24"/>
    </w:rPr>
  </w:style>
  <w:style w:type="paragraph" w:styleId="a7">
    <w:name w:val="Body Text"/>
    <w:basedOn w:val="a"/>
    <w:link w:val="Char1"/>
    <w:qFormat/>
    <w:pPr>
      <w:widowControl/>
      <w:jc w:val="left"/>
    </w:pPr>
    <w:rPr>
      <w:rFonts w:ascii="幼圆" w:eastAsia="幼圆" w:hAnsi="Calibri"/>
      <w:kern w:val="0"/>
      <w:sz w:val="15"/>
      <w:szCs w:val="20"/>
    </w:rPr>
  </w:style>
  <w:style w:type="character" w:customStyle="1" w:styleId="Char1">
    <w:name w:val="正文文本 Char"/>
    <w:link w:val="a7"/>
    <w:qFormat/>
    <w:rPr>
      <w:rFonts w:ascii="幼圆" w:eastAsia="幼圆" w:cs="Times New Roman"/>
      <w:kern w:val="0"/>
      <w:sz w:val="15"/>
      <w:szCs w:val="20"/>
    </w:rPr>
  </w:style>
  <w:style w:type="paragraph" w:styleId="50">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qFormat/>
    <w:pPr>
      <w:ind w:leftChars="400" w:left="840"/>
    </w:pPr>
    <w:rPr>
      <w:rFonts w:ascii="Calibri" w:hAnsi="Calibri"/>
      <w:szCs w:val="22"/>
    </w:rPr>
  </w:style>
  <w:style w:type="paragraph" w:styleId="80">
    <w:name w:val="toc 8"/>
    <w:basedOn w:val="a"/>
    <w:next w:val="a"/>
    <w:uiPriority w:val="39"/>
    <w:unhideWhenUsed/>
    <w:pPr>
      <w:ind w:leftChars="1400" w:left="2940"/>
    </w:pPr>
    <w:rPr>
      <w:rFonts w:asciiTheme="minorHAnsi" w:eastAsiaTheme="minorEastAsia" w:hAnsiTheme="minorHAnsi" w:cstheme="minorBidi"/>
      <w:szCs w:val="22"/>
    </w:rPr>
  </w:style>
  <w:style w:type="paragraph" w:styleId="a8">
    <w:name w:val="Balloon Text"/>
    <w:basedOn w:val="a"/>
    <w:link w:val="Char2"/>
    <w:uiPriority w:val="99"/>
    <w:unhideWhenUsed/>
    <w:qFormat/>
    <w:rPr>
      <w:kern w:val="0"/>
      <w:sz w:val="18"/>
      <w:szCs w:val="18"/>
    </w:rPr>
  </w:style>
  <w:style w:type="character" w:customStyle="1" w:styleId="Char2">
    <w:name w:val="批注框文本 Char"/>
    <w:link w:val="a8"/>
    <w:uiPriority w:val="99"/>
    <w:semiHidden/>
    <w:qFormat/>
    <w:rPr>
      <w:rFonts w:ascii="Times New Roman" w:eastAsia="宋体" w:hAnsi="Times New Roman" w:cs="Times New Roman"/>
      <w:sz w:val="18"/>
      <w:szCs w:val="18"/>
    </w:rPr>
  </w:style>
  <w:style w:type="paragraph" w:styleId="a9">
    <w:name w:val="footer"/>
    <w:basedOn w:val="a"/>
    <w:link w:val="Char3"/>
    <w:uiPriority w:val="99"/>
    <w:unhideWhenUsed/>
    <w:qFormat/>
    <w:pPr>
      <w:tabs>
        <w:tab w:val="center" w:pos="4153"/>
        <w:tab w:val="right" w:pos="8306"/>
      </w:tabs>
      <w:snapToGrid w:val="0"/>
      <w:jc w:val="left"/>
    </w:pPr>
    <w:rPr>
      <w:kern w:val="0"/>
      <w:sz w:val="18"/>
      <w:szCs w:val="18"/>
    </w:rPr>
  </w:style>
  <w:style w:type="character" w:customStyle="1" w:styleId="Char3">
    <w:name w:val="页脚 Char"/>
    <w:link w:val="a9"/>
    <w:uiPriority w:val="99"/>
    <w:qFormat/>
    <w:rPr>
      <w:rFonts w:ascii="Times New Roman" w:eastAsia="宋体" w:hAnsi="Times New Roman" w:cs="Times New Roman"/>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Char4">
    <w:name w:val="页眉 Char"/>
    <w:link w:val="aa"/>
    <w:uiPriority w:val="99"/>
    <w:qFormat/>
    <w:rPr>
      <w:rFonts w:ascii="Times New Roman" w:eastAsia="宋体" w:hAnsi="Times New Roman" w:cs="Times New Roman"/>
      <w:sz w:val="18"/>
      <w:szCs w:val="18"/>
    </w:rPr>
  </w:style>
  <w:style w:type="paragraph" w:styleId="10">
    <w:name w:val="toc 1"/>
    <w:basedOn w:val="a"/>
    <w:next w:val="a"/>
    <w:uiPriority w:val="39"/>
    <w:unhideWhenUsed/>
    <w:qFormat/>
  </w:style>
  <w:style w:type="paragraph" w:styleId="40">
    <w:name w:val="toc 4"/>
    <w:basedOn w:val="a"/>
    <w:next w:val="a"/>
    <w:uiPriority w:val="39"/>
    <w:unhideWhenUsed/>
    <w:pPr>
      <w:ind w:leftChars="600" w:left="1260"/>
    </w:pPr>
    <w:rPr>
      <w:rFonts w:asciiTheme="minorHAnsi" w:eastAsiaTheme="minorEastAsia" w:hAnsiTheme="minorHAnsi" w:cstheme="minorBidi"/>
      <w:szCs w:val="22"/>
    </w:rPr>
  </w:style>
  <w:style w:type="paragraph" w:styleId="ab">
    <w:name w:val="Subtitle"/>
    <w:basedOn w:val="a"/>
    <w:next w:val="a"/>
    <w:link w:val="Char5"/>
    <w:uiPriority w:val="11"/>
    <w:qFormat/>
    <w:pPr>
      <w:widowControl/>
      <w:spacing w:after="60"/>
      <w:jc w:val="center"/>
      <w:outlineLvl w:val="1"/>
    </w:pPr>
    <w:rPr>
      <w:rFonts w:ascii="Calibri Light" w:hAnsi="Calibri Light"/>
      <w:kern w:val="0"/>
      <w:sz w:val="24"/>
    </w:rPr>
  </w:style>
  <w:style w:type="character" w:customStyle="1" w:styleId="Char5">
    <w:name w:val="副标题 Char"/>
    <w:link w:val="ab"/>
    <w:uiPriority w:val="11"/>
    <w:qFormat/>
    <w:rPr>
      <w:rFonts w:ascii="Calibri Light" w:eastAsia="宋体" w:hAnsi="Calibri Light" w:cs="Times New Roman"/>
      <w:kern w:val="0"/>
      <w:sz w:val="24"/>
      <w:szCs w:val="24"/>
    </w:rPr>
  </w:style>
  <w:style w:type="paragraph" w:styleId="60">
    <w:name w:val="toc 6"/>
    <w:basedOn w:val="a"/>
    <w:next w:val="a"/>
    <w:uiPriority w:val="39"/>
    <w:unhideWhenUsed/>
    <w:pPr>
      <w:ind w:leftChars="1000" w:left="2100"/>
    </w:pPr>
    <w:rPr>
      <w:rFonts w:asciiTheme="minorHAnsi" w:eastAsiaTheme="minorEastAsia" w:hAnsiTheme="minorHAnsi" w:cstheme="minorBidi"/>
      <w:szCs w:val="22"/>
    </w:rPr>
  </w:style>
  <w:style w:type="paragraph" w:styleId="20">
    <w:name w:val="toc 2"/>
    <w:basedOn w:val="a"/>
    <w:next w:val="a"/>
    <w:uiPriority w:val="39"/>
    <w:unhideWhenUsed/>
    <w:qFormat/>
    <w:pPr>
      <w:ind w:leftChars="200" w:left="420"/>
    </w:pPr>
  </w:style>
  <w:style w:type="paragraph" w:styleId="90">
    <w:name w:val="toc 9"/>
    <w:basedOn w:val="a"/>
    <w:next w:val="a"/>
    <w:uiPriority w:val="39"/>
    <w:unhideWhenUsed/>
    <w:pPr>
      <w:ind w:leftChars="1600" w:left="3360"/>
    </w:pPr>
    <w:rPr>
      <w:rFonts w:asciiTheme="minorHAnsi" w:eastAsiaTheme="minorEastAsia" w:hAnsiTheme="minorHAnsi" w:cstheme="minorBidi"/>
      <w:szCs w:val="22"/>
    </w:rPr>
  </w:style>
  <w:style w:type="paragraph" w:styleId="ac">
    <w:name w:val="Normal (Web)"/>
    <w:basedOn w:val="a"/>
    <w:uiPriority w:val="39"/>
    <w:pPr>
      <w:widowControl/>
      <w:spacing w:before="100" w:beforeAutospacing="1" w:after="100" w:afterAutospacing="1"/>
      <w:jc w:val="left"/>
    </w:pPr>
    <w:rPr>
      <w:rFonts w:ascii="宋体" w:hAnsi="宋体" w:cs="宋体"/>
      <w:kern w:val="0"/>
      <w:sz w:val="24"/>
    </w:rPr>
  </w:style>
  <w:style w:type="paragraph" w:styleId="ad">
    <w:name w:val="Title"/>
    <w:basedOn w:val="a"/>
    <w:next w:val="a"/>
    <w:link w:val="Char6"/>
    <w:uiPriority w:val="10"/>
    <w:qFormat/>
    <w:pPr>
      <w:spacing w:before="240" w:after="60"/>
      <w:jc w:val="center"/>
      <w:outlineLvl w:val="0"/>
    </w:pPr>
    <w:rPr>
      <w:rFonts w:ascii="Calibri Light" w:eastAsia="黑体" w:hAnsi="Calibri Light"/>
      <w:bCs/>
      <w:kern w:val="0"/>
      <w:sz w:val="30"/>
      <w:szCs w:val="32"/>
    </w:rPr>
  </w:style>
  <w:style w:type="character" w:customStyle="1" w:styleId="Char6">
    <w:name w:val="标题 Char"/>
    <w:link w:val="ad"/>
    <w:uiPriority w:val="10"/>
    <w:qFormat/>
    <w:rPr>
      <w:rFonts w:ascii="Calibri Light" w:eastAsia="黑体" w:hAnsi="Calibri Light" w:cs="Times New Roman"/>
      <w:bCs/>
      <w:sz w:val="30"/>
      <w:szCs w:val="32"/>
    </w:rPr>
  </w:style>
  <w:style w:type="paragraph" w:styleId="ae">
    <w:name w:val="annotation subject"/>
    <w:basedOn w:val="a6"/>
    <w:next w:val="a6"/>
    <w:link w:val="Char7"/>
    <w:uiPriority w:val="99"/>
    <w:unhideWhenUsed/>
    <w:qFormat/>
    <w:rPr>
      <w:b/>
      <w:bCs/>
    </w:rPr>
  </w:style>
  <w:style w:type="character" w:customStyle="1" w:styleId="Char7">
    <w:name w:val="批注主题 Char"/>
    <w:link w:val="ae"/>
    <w:uiPriority w:val="99"/>
    <w:semiHidden/>
    <w:qFormat/>
    <w:rPr>
      <w:rFonts w:cs="Times New Roman"/>
      <w:b/>
      <w:bCs/>
      <w:kern w:val="0"/>
      <w:sz w:val="24"/>
      <w:szCs w:val="24"/>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uiPriority w:val="20"/>
    <w:qFormat/>
    <w:rPr>
      <w:rFonts w:ascii="Calibri" w:hAnsi="Calibri"/>
      <w:b/>
      <w:i/>
      <w:iCs/>
    </w:rPr>
  </w:style>
  <w:style w:type="character" w:styleId="af2">
    <w:name w:val="Hyperlink"/>
    <w:uiPriority w:val="99"/>
    <w:unhideWhenUsed/>
    <w:qFormat/>
    <w:rPr>
      <w:color w:val="0563C1"/>
      <w:u w:val="single"/>
    </w:rPr>
  </w:style>
  <w:style w:type="character" w:styleId="af3">
    <w:name w:val="annotation reference"/>
    <w:basedOn w:val="a0"/>
    <w:uiPriority w:val="99"/>
    <w:unhideWhenUsed/>
    <w:qFormat/>
    <w:rPr>
      <w:sz w:val="21"/>
      <w:szCs w:val="21"/>
    </w:rPr>
  </w:style>
  <w:style w:type="paragraph" w:customStyle="1" w:styleId="71">
    <w:name w:val="目录 71"/>
    <w:basedOn w:val="a"/>
    <w:next w:val="a"/>
    <w:uiPriority w:val="39"/>
    <w:unhideWhenUsed/>
    <w:qFormat/>
    <w:pPr>
      <w:ind w:leftChars="1200" w:left="2520"/>
    </w:pPr>
    <w:rPr>
      <w:rFonts w:ascii="Calibri" w:hAnsi="Calibri"/>
      <w:szCs w:val="22"/>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31">
    <w:name w:val="目录 31"/>
    <w:basedOn w:val="a"/>
    <w:next w:val="a"/>
    <w:uiPriority w:val="39"/>
    <w:unhideWhenUsed/>
    <w:qFormat/>
    <w:pPr>
      <w:widowControl/>
      <w:tabs>
        <w:tab w:val="right" w:leader="dot" w:pos="8777"/>
      </w:tabs>
      <w:spacing w:after="100" w:line="259" w:lineRule="auto"/>
      <w:ind w:left="440"/>
      <w:jc w:val="left"/>
    </w:pPr>
    <w:rPr>
      <w:b/>
      <w:kern w:val="0"/>
      <w:sz w:val="24"/>
    </w:rPr>
  </w:style>
  <w:style w:type="paragraph" w:customStyle="1" w:styleId="81">
    <w:name w:val="目录 81"/>
    <w:basedOn w:val="a"/>
    <w:next w:val="a"/>
    <w:uiPriority w:val="39"/>
    <w:unhideWhenUsed/>
    <w:qFormat/>
    <w:pPr>
      <w:ind w:leftChars="1400" w:left="2940"/>
    </w:pPr>
    <w:rPr>
      <w:rFonts w:ascii="Calibri" w:hAnsi="Calibri"/>
      <w:szCs w:val="22"/>
    </w:rPr>
  </w:style>
  <w:style w:type="paragraph" w:customStyle="1" w:styleId="11">
    <w:name w:val="目录 11"/>
    <w:basedOn w:val="a"/>
    <w:next w:val="a"/>
    <w:uiPriority w:val="39"/>
    <w:unhideWhenUsed/>
    <w:qFormat/>
    <w:pPr>
      <w:widowControl/>
      <w:tabs>
        <w:tab w:val="right" w:leader="dot" w:pos="8777"/>
      </w:tabs>
      <w:spacing w:after="100" w:line="259" w:lineRule="auto"/>
      <w:jc w:val="left"/>
    </w:pPr>
    <w:rPr>
      <w:b/>
      <w:kern w:val="0"/>
      <w:sz w:val="24"/>
    </w:r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61">
    <w:name w:val="目录 61"/>
    <w:basedOn w:val="a"/>
    <w:next w:val="a"/>
    <w:uiPriority w:val="39"/>
    <w:unhideWhenUsed/>
    <w:qFormat/>
    <w:pPr>
      <w:ind w:leftChars="1000" w:left="2100"/>
    </w:pPr>
    <w:rPr>
      <w:rFonts w:ascii="Calibri" w:hAnsi="Calibri"/>
      <w:szCs w:val="22"/>
    </w:rPr>
  </w:style>
  <w:style w:type="paragraph" w:customStyle="1" w:styleId="21">
    <w:name w:val="目录 21"/>
    <w:basedOn w:val="a"/>
    <w:next w:val="a"/>
    <w:uiPriority w:val="39"/>
    <w:unhideWhenUsed/>
    <w:qFormat/>
    <w:pPr>
      <w:widowControl/>
      <w:spacing w:after="100" w:line="259" w:lineRule="auto"/>
      <w:ind w:left="220"/>
      <w:jc w:val="left"/>
    </w:pPr>
    <w:rPr>
      <w:rFonts w:ascii="Calibri" w:hAnsi="Calibri"/>
      <w:kern w:val="0"/>
      <w:sz w:val="22"/>
      <w:szCs w:val="22"/>
    </w:rPr>
  </w:style>
  <w:style w:type="paragraph" w:customStyle="1" w:styleId="91">
    <w:name w:val="目录 91"/>
    <w:basedOn w:val="a"/>
    <w:next w:val="a"/>
    <w:uiPriority w:val="39"/>
    <w:unhideWhenUsed/>
    <w:qFormat/>
    <w:pPr>
      <w:ind w:leftChars="1600" w:left="3360"/>
    </w:pPr>
    <w:rPr>
      <w:rFonts w:ascii="Calibri" w:hAnsi="Calibri"/>
      <w:szCs w:val="22"/>
    </w:rPr>
  </w:style>
  <w:style w:type="paragraph" w:customStyle="1" w:styleId="12">
    <w:name w:val="列表段落1"/>
    <w:basedOn w:val="a"/>
    <w:link w:val="af4"/>
    <w:uiPriority w:val="34"/>
    <w:qFormat/>
    <w:pPr>
      <w:ind w:firstLineChars="200" w:firstLine="420"/>
    </w:pPr>
    <w:rPr>
      <w:kern w:val="0"/>
      <w:sz w:val="20"/>
    </w:rPr>
  </w:style>
  <w:style w:type="character" w:customStyle="1" w:styleId="af4">
    <w:name w:val="列表段落 字符"/>
    <w:link w:val="12"/>
    <w:uiPriority w:val="34"/>
    <w:qFormat/>
    <w:rPr>
      <w:rFonts w:ascii="Times New Roman" w:eastAsia="宋体" w:hAnsi="Times New Roman" w:cs="Times New Roman"/>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eastAsia="宋体" w:hAnsi="Calibri Light"/>
      <w:b/>
      <w:bCs w:val="0"/>
      <w:color w:val="2E74B5"/>
      <w:kern w:val="0"/>
      <w:sz w:val="32"/>
      <w:szCs w:val="32"/>
    </w:rPr>
  </w:style>
  <w:style w:type="paragraph" w:styleId="af5">
    <w:name w:val="No Spacing"/>
    <w:next w:val="a"/>
    <w:link w:val="Char8"/>
    <w:uiPriority w:val="1"/>
    <w:qFormat/>
    <w:pPr>
      <w:widowControl w:val="0"/>
      <w:spacing w:line="300" w:lineRule="auto"/>
      <w:jc w:val="both"/>
    </w:pPr>
    <w:rPr>
      <w:rFonts w:ascii="Times New Roman" w:eastAsia="宋体" w:hAnsi="Times New Roman" w:cs="Times New Roman"/>
      <w:sz w:val="24"/>
      <w:szCs w:val="24"/>
    </w:rPr>
  </w:style>
  <w:style w:type="character" w:customStyle="1" w:styleId="Char8">
    <w:name w:val="无间隔 Char"/>
    <w:link w:val="af5"/>
    <w:uiPriority w:val="1"/>
    <w:qFormat/>
    <w:rPr>
      <w:rFonts w:ascii="Times New Roman" w:hAnsi="Times New Roman"/>
      <w:sz w:val="24"/>
      <w:szCs w:val="24"/>
      <w:lang w:bidi="ar-SA"/>
    </w:rPr>
  </w:style>
  <w:style w:type="character" w:customStyle="1" w:styleId="af6">
    <w:name w:val="论文正文"/>
    <w:uiPriority w:val="99"/>
    <w:qFormat/>
    <w:rPr>
      <w:rFonts w:ascii="宋体" w:eastAsia="宋体" w:hAnsi="宋体" w:cs="Times New Roman"/>
      <w:kern w:val="0"/>
      <w:sz w:val="21"/>
    </w:rPr>
  </w:style>
  <w:style w:type="paragraph" w:customStyle="1" w:styleId="af7">
    <w:name w:val="论文表格图形名字样式"/>
    <w:basedOn w:val="a"/>
    <w:uiPriority w:val="99"/>
    <w:qFormat/>
    <w:pPr>
      <w:spacing w:line="300" w:lineRule="auto"/>
      <w:ind w:firstLineChars="200" w:firstLine="361"/>
      <w:jc w:val="center"/>
    </w:pPr>
    <w:rPr>
      <w:rFonts w:ascii="黑体" w:eastAsia="黑体" w:hAnsi="黑体" w:cs="宋体"/>
      <w:b/>
      <w:bCs/>
      <w:kern w:val="0"/>
      <w:sz w:val="18"/>
      <w:szCs w:val="20"/>
    </w:rPr>
  </w:style>
  <w:style w:type="paragraph" w:customStyle="1" w:styleId="zw">
    <w:name w:val="zw"/>
    <w:basedOn w:val="a"/>
    <w:qFormat/>
    <w:pPr>
      <w:adjustRightInd w:val="0"/>
      <w:spacing w:line="360" w:lineRule="auto"/>
      <w:ind w:firstLine="482"/>
      <w:textAlignment w:val="baseline"/>
    </w:pPr>
    <w:rPr>
      <w:rFonts w:ascii="Arial Narrow" w:eastAsia="楷体_GB2312" w:hAnsi="Arial Narrow"/>
      <w:kern w:val="0"/>
      <w:sz w:val="24"/>
      <w:szCs w:val="20"/>
    </w:rPr>
  </w:style>
  <w:style w:type="paragraph" w:customStyle="1" w:styleId="42">
    <w:name w:val="招股书4级标题"/>
    <w:next w:val="a"/>
    <w:uiPriority w:val="99"/>
    <w:qFormat/>
    <w:pPr>
      <w:keepNext/>
      <w:adjustRightInd w:val="0"/>
      <w:spacing w:line="360" w:lineRule="auto"/>
      <w:ind w:firstLineChars="200" w:firstLine="200"/>
      <w:outlineLvl w:val="3"/>
    </w:pPr>
    <w:rPr>
      <w:rFonts w:ascii="Calibri" w:eastAsia="宋体" w:hAnsi="Calibri" w:cs="宋体"/>
      <w:b/>
      <w:kern w:val="2"/>
      <w:sz w:val="24"/>
      <w:szCs w:val="24"/>
    </w:rPr>
  </w:style>
  <w:style w:type="paragraph" w:customStyle="1" w:styleId="1-6">
    <w:name w:val="1-6"/>
    <w:basedOn w:val="a"/>
    <w:uiPriority w:val="39"/>
    <w:qFormat/>
    <w:pPr>
      <w:widowControl/>
      <w:adjustRightInd w:val="0"/>
      <w:snapToGrid w:val="0"/>
      <w:spacing w:line="360" w:lineRule="auto"/>
      <w:ind w:firstLineChars="200" w:firstLine="480"/>
      <w:jc w:val="left"/>
    </w:pPr>
    <w:rPr>
      <w:rFonts w:ascii="Calibri" w:hAnsi="宋体"/>
      <w:kern w:val="0"/>
      <w:sz w:val="24"/>
    </w:rPr>
  </w:style>
  <w:style w:type="paragraph" w:styleId="af8">
    <w:name w:val="Quote"/>
    <w:basedOn w:val="a"/>
    <w:next w:val="a"/>
    <w:link w:val="Char9"/>
    <w:uiPriority w:val="29"/>
    <w:qFormat/>
    <w:pPr>
      <w:widowControl/>
      <w:jc w:val="left"/>
    </w:pPr>
    <w:rPr>
      <w:rFonts w:ascii="Calibri" w:hAnsi="Calibri"/>
      <w:i/>
      <w:kern w:val="0"/>
      <w:sz w:val="24"/>
    </w:rPr>
  </w:style>
  <w:style w:type="character" w:customStyle="1" w:styleId="Char9">
    <w:name w:val="引用 Char"/>
    <w:link w:val="af8"/>
    <w:uiPriority w:val="29"/>
    <w:qFormat/>
    <w:rPr>
      <w:rFonts w:cs="Times New Roman"/>
      <w:i/>
      <w:kern w:val="0"/>
      <w:sz w:val="24"/>
      <w:szCs w:val="24"/>
    </w:rPr>
  </w:style>
  <w:style w:type="paragraph" w:styleId="af9">
    <w:name w:val="Intense Quote"/>
    <w:basedOn w:val="a"/>
    <w:next w:val="a"/>
    <w:link w:val="Chara"/>
    <w:uiPriority w:val="30"/>
    <w:qFormat/>
    <w:pPr>
      <w:widowControl/>
      <w:ind w:left="720" w:right="720"/>
      <w:jc w:val="left"/>
    </w:pPr>
    <w:rPr>
      <w:rFonts w:ascii="Calibri" w:hAnsi="Calibri"/>
      <w:b/>
      <w:i/>
      <w:kern w:val="0"/>
      <w:sz w:val="24"/>
      <w:szCs w:val="20"/>
    </w:rPr>
  </w:style>
  <w:style w:type="character" w:customStyle="1" w:styleId="Chara">
    <w:name w:val="明显引用 Char"/>
    <w:link w:val="af9"/>
    <w:uiPriority w:val="30"/>
    <w:qFormat/>
    <w:rPr>
      <w:rFonts w:cs="Times New Roman"/>
      <w:b/>
      <w:i/>
      <w:kern w:val="0"/>
      <w:sz w:val="24"/>
    </w:rPr>
  </w:style>
  <w:style w:type="character" w:customStyle="1" w:styleId="13">
    <w:name w:val="不明显强调1"/>
    <w:uiPriority w:val="19"/>
    <w:qFormat/>
    <w:rPr>
      <w:i/>
      <w:color w:val="595959"/>
    </w:rPr>
  </w:style>
  <w:style w:type="character" w:customStyle="1" w:styleId="14">
    <w:name w:val="明显强调1"/>
    <w:uiPriority w:val="21"/>
    <w:qFormat/>
    <w:rPr>
      <w:b/>
      <w:i/>
      <w:sz w:val="24"/>
      <w:szCs w:val="24"/>
      <w:u w:val="single"/>
    </w:rPr>
  </w:style>
  <w:style w:type="character" w:customStyle="1" w:styleId="15">
    <w:name w:val="不明显参考1"/>
    <w:uiPriority w:val="31"/>
    <w:qFormat/>
    <w:rPr>
      <w:sz w:val="24"/>
      <w:szCs w:val="24"/>
      <w:u w:val="single"/>
    </w:rPr>
  </w:style>
  <w:style w:type="character" w:customStyle="1" w:styleId="16">
    <w:name w:val="明显参考1"/>
    <w:uiPriority w:val="32"/>
    <w:qFormat/>
    <w:rPr>
      <w:b/>
      <w:sz w:val="24"/>
      <w:u w:val="single"/>
    </w:rPr>
  </w:style>
  <w:style w:type="character" w:customStyle="1" w:styleId="17">
    <w:name w:val="书籍标题1"/>
    <w:uiPriority w:val="33"/>
    <w:qFormat/>
    <w:rPr>
      <w:rFonts w:ascii="Calibri Light" w:eastAsia="宋体" w:hAnsi="Calibri Light"/>
      <w:b/>
      <w:i/>
      <w:sz w:val="24"/>
      <w:szCs w:val="24"/>
    </w:rPr>
  </w:style>
  <w:style w:type="paragraph" w:customStyle="1" w:styleId="18">
    <w:name w:val="修订1"/>
    <w:hidden/>
    <w:uiPriority w:val="99"/>
    <w:semiHidden/>
    <w:qFormat/>
    <w:rPr>
      <w:rFonts w:ascii="Calibri" w:eastAsia="宋体" w:hAnsi="Calibri" w:cs="Times New Roman"/>
      <w:sz w:val="24"/>
      <w:szCs w:val="24"/>
    </w:rPr>
  </w:style>
  <w:style w:type="paragraph" w:customStyle="1" w:styleId="22">
    <w:name w:val="修订2"/>
    <w:hidden/>
    <w:uiPriority w:val="99"/>
    <w:semiHidden/>
    <w:rPr>
      <w:rFonts w:ascii="Times New Roman" w:eastAsia="宋体" w:hAnsi="Times New Roman" w:cs="Times New Roman"/>
      <w:kern w:val="2"/>
      <w:sz w:val="21"/>
      <w:szCs w:val="24"/>
    </w:rPr>
  </w:style>
  <w:style w:type="table" w:customStyle="1" w:styleId="19">
    <w:name w:val="网格型1"/>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link w:val="Charb"/>
    <w:uiPriority w:val="34"/>
    <w:qFormat/>
    <w:pPr>
      <w:ind w:firstLineChars="200" w:firstLine="420"/>
    </w:pPr>
  </w:style>
  <w:style w:type="character" w:customStyle="1" w:styleId="Charb">
    <w:name w:val="列出段落 Char"/>
    <w:basedOn w:val="a0"/>
    <w:link w:val="afa"/>
    <w:uiPriority w:val="34"/>
    <w:rPr>
      <w:rFonts w:ascii="Times New Roman" w:hAnsi="Times New Roman"/>
      <w:kern w:val="2"/>
      <w:sz w:val="21"/>
      <w:szCs w:val="24"/>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Calibri Light" w:eastAsia="宋体" w:hAnsi="Calibri Light"/>
      <w:b/>
      <w:bCs w:val="0"/>
      <w:color w:val="2E74B5"/>
      <w:kern w:val="0"/>
      <w:sz w:val="32"/>
      <w:szCs w:val="32"/>
    </w:rPr>
  </w:style>
  <w:style w:type="paragraph" w:customStyle="1" w:styleId="220">
    <w:name w:val="目录 22"/>
    <w:basedOn w:val="a"/>
    <w:next w:val="a"/>
    <w:uiPriority w:val="39"/>
    <w:unhideWhenUsed/>
    <w:qFormat/>
    <w:pPr>
      <w:widowControl/>
      <w:spacing w:after="100" w:line="259" w:lineRule="auto"/>
      <w:ind w:left="220"/>
      <w:jc w:val="left"/>
    </w:pPr>
    <w:rPr>
      <w:rFonts w:ascii="Calibri" w:hAnsi="Calibri"/>
      <w:kern w:val="0"/>
      <w:sz w:val="22"/>
      <w:szCs w:val="22"/>
    </w:rPr>
  </w:style>
  <w:style w:type="paragraph" w:customStyle="1" w:styleId="120">
    <w:name w:val="目录 12"/>
    <w:basedOn w:val="a"/>
    <w:next w:val="a"/>
    <w:uiPriority w:val="39"/>
    <w:unhideWhenUsed/>
    <w:qFormat/>
    <w:pPr>
      <w:widowControl/>
      <w:tabs>
        <w:tab w:val="right" w:leader="dot" w:pos="8777"/>
      </w:tabs>
      <w:spacing w:after="100" w:line="259" w:lineRule="auto"/>
      <w:jc w:val="left"/>
    </w:pPr>
    <w:rPr>
      <w:b/>
      <w:kern w:val="0"/>
      <w:sz w:val="24"/>
    </w:rPr>
  </w:style>
  <w:style w:type="paragraph" w:customStyle="1" w:styleId="32">
    <w:name w:val="目录 32"/>
    <w:basedOn w:val="a"/>
    <w:next w:val="a"/>
    <w:uiPriority w:val="39"/>
    <w:unhideWhenUsed/>
    <w:qFormat/>
    <w:pPr>
      <w:widowControl/>
      <w:tabs>
        <w:tab w:val="right" w:leader="dot" w:pos="8777"/>
      </w:tabs>
      <w:spacing w:after="100" w:line="259" w:lineRule="auto"/>
      <w:ind w:left="440"/>
      <w:jc w:val="left"/>
    </w:pPr>
    <w:rPr>
      <w:b/>
      <w:kern w:val="0"/>
      <w:sz w:val="24"/>
    </w:rPr>
  </w:style>
  <w:style w:type="character" w:customStyle="1" w:styleId="23">
    <w:name w:val="不明显强调2"/>
    <w:uiPriority w:val="19"/>
    <w:qFormat/>
    <w:rPr>
      <w:i/>
      <w:color w:val="5A5A5A"/>
    </w:rPr>
  </w:style>
  <w:style w:type="character" w:customStyle="1" w:styleId="24">
    <w:name w:val="明显强调2"/>
    <w:basedOn w:val="a0"/>
    <w:uiPriority w:val="21"/>
    <w:qFormat/>
    <w:rPr>
      <w:b/>
      <w:i/>
      <w:sz w:val="24"/>
      <w:szCs w:val="24"/>
      <w:u w:val="single"/>
    </w:rPr>
  </w:style>
  <w:style w:type="character" w:customStyle="1" w:styleId="25">
    <w:name w:val="不明显参考2"/>
    <w:basedOn w:val="a0"/>
    <w:uiPriority w:val="31"/>
    <w:qFormat/>
    <w:rPr>
      <w:sz w:val="24"/>
      <w:szCs w:val="24"/>
      <w:u w:val="single"/>
    </w:rPr>
  </w:style>
  <w:style w:type="character" w:customStyle="1" w:styleId="26">
    <w:name w:val="明显参考2"/>
    <w:basedOn w:val="a0"/>
    <w:uiPriority w:val="32"/>
    <w:qFormat/>
    <w:rPr>
      <w:b/>
      <w:sz w:val="24"/>
      <w:u w:val="single"/>
    </w:rPr>
  </w:style>
  <w:style w:type="character" w:customStyle="1" w:styleId="27">
    <w:name w:val="书籍标题2"/>
    <w:basedOn w:val="a0"/>
    <w:uiPriority w:val="33"/>
    <w:qFormat/>
    <w:rPr>
      <w:rFonts w:ascii="Calibri Light" w:eastAsia="宋体" w:hAnsi="Calibri Light"/>
      <w:b/>
      <w:i/>
      <w:sz w:val="24"/>
      <w:szCs w:val="24"/>
    </w:rPr>
  </w:style>
  <w:style w:type="paragraph" w:customStyle="1" w:styleId="420">
    <w:name w:val="目录 42"/>
    <w:basedOn w:val="a"/>
    <w:next w:val="a"/>
    <w:uiPriority w:val="39"/>
    <w:unhideWhenUsed/>
    <w:pPr>
      <w:ind w:leftChars="600" w:left="1260"/>
    </w:pPr>
    <w:rPr>
      <w:rFonts w:ascii="Calibri" w:hAnsi="Calibri"/>
      <w:szCs w:val="22"/>
    </w:rPr>
  </w:style>
  <w:style w:type="paragraph" w:customStyle="1" w:styleId="52">
    <w:name w:val="目录 52"/>
    <w:basedOn w:val="a"/>
    <w:next w:val="a"/>
    <w:uiPriority w:val="39"/>
    <w:unhideWhenUsed/>
    <w:pPr>
      <w:ind w:leftChars="800" w:left="1680"/>
    </w:pPr>
    <w:rPr>
      <w:rFonts w:ascii="Calibri" w:hAnsi="Calibri"/>
      <w:szCs w:val="22"/>
    </w:rPr>
  </w:style>
  <w:style w:type="paragraph" w:customStyle="1" w:styleId="62">
    <w:name w:val="目录 62"/>
    <w:basedOn w:val="a"/>
    <w:next w:val="a"/>
    <w:uiPriority w:val="39"/>
    <w:unhideWhenUsed/>
    <w:pPr>
      <w:ind w:leftChars="1000" w:left="2100"/>
    </w:pPr>
    <w:rPr>
      <w:rFonts w:ascii="Calibri" w:hAnsi="Calibri"/>
      <w:szCs w:val="22"/>
    </w:rPr>
  </w:style>
  <w:style w:type="paragraph" w:customStyle="1" w:styleId="72">
    <w:name w:val="目录 72"/>
    <w:basedOn w:val="a"/>
    <w:next w:val="a"/>
    <w:uiPriority w:val="39"/>
    <w:unhideWhenUsed/>
    <w:pPr>
      <w:ind w:leftChars="1200" w:left="2520"/>
    </w:pPr>
    <w:rPr>
      <w:rFonts w:ascii="Calibri" w:hAnsi="Calibri"/>
      <w:szCs w:val="22"/>
    </w:rPr>
  </w:style>
  <w:style w:type="paragraph" w:customStyle="1" w:styleId="82">
    <w:name w:val="目录 82"/>
    <w:basedOn w:val="a"/>
    <w:next w:val="a"/>
    <w:uiPriority w:val="39"/>
    <w:unhideWhenUsed/>
    <w:pPr>
      <w:ind w:leftChars="1400" w:left="2940"/>
    </w:pPr>
    <w:rPr>
      <w:rFonts w:ascii="Calibri" w:hAnsi="Calibri"/>
      <w:szCs w:val="22"/>
    </w:rPr>
  </w:style>
  <w:style w:type="paragraph" w:customStyle="1" w:styleId="92">
    <w:name w:val="目录 92"/>
    <w:basedOn w:val="a"/>
    <w:next w:val="a"/>
    <w:uiPriority w:val="39"/>
    <w:unhideWhenUsed/>
    <w:pPr>
      <w:ind w:leftChars="1600" w:left="3360"/>
    </w:pPr>
    <w:rPr>
      <w:rFonts w:ascii="Calibri" w:hAnsi="Calibri"/>
      <w:szCs w:val="22"/>
    </w:rPr>
  </w:style>
  <w:style w:type="character" w:customStyle="1" w:styleId="33">
    <w:name w:val="不明显强调3"/>
    <w:basedOn w:val="a0"/>
    <w:uiPriority w:val="19"/>
    <w:qFormat/>
    <w:rPr>
      <w:i/>
      <w:iCs/>
      <w:color w:val="7F7F7F" w:themeColor="text1" w:themeTint="80"/>
    </w:rPr>
  </w:style>
  <w:style w:type="character" w:customStyle="1" w:styleId="34">
    <w:name w:val="书籍标题3"/>
    <w:basedOn w:val="a0"/>
    <w:uiPriority w:val="33"/>
    <w:qFormat/>
    <w:rPr>
      <w:b/>
      <w:bCs/>
      <w:smallCaps/>
      <w:spacing w:val="5"/>
    </w:rPr>
  </w:style>
  <w:style w:type="paragraph" w:customStyle="1" w:styleId="TOC3">
    <w:name w:val="TOC 标题3"/>
    <w:basedOn w:val="1"/>
    <w:next w:val="a"/>
    <w:uiPriority w:val="39"/>
    <w:unhideWhenUsed/>
    <w:qFormat/>
    <w:pPr>
      <w:outlineLvl w:val="9"/>
    </w:pPr>
    <w:rPr>
      <w:rFonts w:eastAsia="宋体"/>
      <w:b/>
      <w:sz w:val="44"/>
    </w:rPr>
  </w:style>
  <w:style w:type="character" w:customStyle="1" w:styleId="Char10">
    <w:name w:val="文档结构图 Char1"/>
    <w:basedOn w:val="a0"/>
    <w:uiPriority w:val="99"/>
    <w:semiHidden/>
    <w:rPr>
      <w:rFonts w:ascii="宋体" w:hAnsi="Times New Roman"/>
      <w:kern w:val="2"/>
      <w:sz w:val="18"/>
      <w:szCs w:val="18"/>
    </w:rPr>
  </w:style>
  <w:style w:type="paragraph" w:customStyle="1" w:styleId="35">
    <w:name w:val="修订3"/>
    <w:uiPriority w:val="99"/>
    <w:semiHidden/>
    <w:rPr>
      <w:rFonts w:ascii="Calibri" w:eastAsia="宋体" w:hAnsi="Calibri" w:cs="Times New Roman"/>
      <w:kern w:val="2"/>
      <w:sz w:val="21"/>
      <w:szCs w:val="22"/>
    </w:rPr>
  </w:style>
  <w:style w:type="character" w:styleId="afb">
    <w:name w:val="FollowedHyperlink"/>
    <w:basedOn w:val="a0"/>
    <w:uiPriority w:val="99"/>
    <w:semiHidden/>
    <w:unhideWhenUsed/>
    <w:rsid w:val="009D1A8B"/>
    <w:rPr>
      <w:color w:val="800080"/>
      <w:u w:val="single"/>
    </w:rPr>
  </w:style>
  <w:style w:type="paragraph" w:customStyle="1" w:styleId="msonormal0">
    <w:name w:val="msonormal"/>
    <w:basedOn w:val="a"/>
    <w:rsid w:val="009D1A8B"/>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9D1A8B"/>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64">
    <w:name w:val="xl64"/>
    <w:basedOn w:val="a"/>
    <w:rsid w:val="009D1A8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微软雅黑" w:eastAsia="微软雅黑" w:hAnsi="微软雅黑" w:cs="宋体"/>
      <w:kern w:val="0"/>
      <w:sz w:val="18"/>
      <w:szCs w:val="18"/>
    </w:rPr>
  </w:style>
  <w:style w:type="paragraph" w:customStyle="1" w:styleId="xl65">
    <w:name w:val="xl65"/>
    <w:basedOn w:val="a"/>
    <w:rsid w:val="009D1A8B"/>
    <w:pPr>
      <w:widowControl/>
      <w:spacing w:before="100" w:beforeAutospacing="1" w:after="100" w:afterAutospacing="1"/>
      <w:jc w:val="left"/>
    </w:pPr>
    <w:rPr>
      <w:rFonts w:ascii="微软雅黑" w:eastAsia="微软雅黑" w:hAnsi="微软雅黑" w:cs="宋体"/>
      <w:b/>
      <w:bCs/>
      <w:kern w:val="0"/>
      <w:sz w:val="18"/>
      <w:szCs w:val="18"/>
    </w:rPr>
  </w:style>
  <w:style w:type="paragraph" w:customStyle="1" w:styleId="xl66">
    <w:name w:val="xl66"/>
    <w:basedOn w:val="a"/>
    <w:rsid w:val="009D1A8B"/>
    <w:pPr>
      <w:widowControl/>
      <w:spacing w:before="100" w:beforeAutospacing="1" w:after="100" w:afterAutospacing="1"/>
      <w:jc w:val="left"/>
    </w:pPr>
    <w:rPr>
      <w:rFonts w:ascii="微软雅黑" w:eastAsia="微软雅黑" w:hAnsi="微软雅黑" w:cs="宋体"/>
      <w:kern w:val="0"/>
      <w:sz w:val="18"/>
      <w:szCs w:val="18"/>
    </w:rPr>
  </w:style>
  <w:style w:type="paragraph" w:customStyle="1" w:styleId="xl67">
    <w:name w:val="xl67"/>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68">
    <w:name w:val="xl68"/>
    <w:basedOn w:val="a"/>
    <w:rsid w:val="009D1A8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微软雅黑" w:eastAsia="微软雅黑" w:hAnsi="微软雅黑" w:cs="宋体"/>
      <w:kern w:val="0"/>
      <w:sz w:val="18"/>
      <w:szCs w:val="18"/>
    </w:rPr>
  </w:style>
  <w:style w:type="paragraph" w:customStyle="1" w:styleId="xl69">
    <w:name w:val="xl69"/>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微软雅黑" w:eastAsia="微软雅黑" w:hAnsi="微软雅黑" w:cs="宋体"/>
      <w:kern w:val="0"/>
      <w:sz w:val="18"/>
      <w:szCs w:val="18"/>
    </w:rPr>
  </w:style>
  <w:style w:type="paragraph" w:customStyle="1" w:styleId="xl70">
    <w:name w:val="xl70"/>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71">
    <w:name w:val="xl71"/>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2">
    <w:name w:val="xl72"/>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3">
    <w:name w:val="xl73"/>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74">
    <w:name w:val="xl74"/>
    <w:basedOn w:val="a"/>
    <w:rsid w:val="009D1A8B"/>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75">
    <w:name w:val="xl75"/>
    <w:basedOn w:val="a"/>
    <w:rsid w:val="009D1A8B"/>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76">
    <w:name w:val="xl76"/>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7">
    <w:name w:val="xl77"/>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78">
    <w:name w:val="xl78"/>
    <w:basedOn w:val="a"/>
    <w:rsid w:val="009D1A8B"/>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79">
    <w:name w:val="xl79"/>
    <w:basedOn w:val="a"/>
    <w:rsid w:val="009D1A8B"/>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80">
    <w:name w:val="xl80"/>
    <w:basedOn w:val="a"/>
    <w:rsid w:val="009D1A8B"/>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81">
    <w:name w:val="xl81"/>
    <w:basedOn w:val="a"/>
    <w:rsid w:val="009D1A8B"/>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left"/>
    </w:pPr>
    <w:rPr>
      <w:rFonts w:ascii="微软雅黑" w:eastAsia="微软雅黑" w:hAnsi="微软雅黑" w:cs="宋体"/>
      <w:kern w:val="0"/>
      <w:sz w:val="18"/>
      <w:szCs w:val="18"/>
    </w:rPr>
  </w:style>
  <w:style w:type="paragraph" w:styleId="TOC">
    <w:name w:val="TOC Heading"/>
    <w:basedOn w:val="1"/>
    <w:next w:val="a"/>
    <w:uiPriority w:val="39"/>
    <w:unhideWhenUsed/>
    <w:qFormat/>
    <w:rsid w:val="00074398"/>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afc">
    <w:name w:val="Revision"/>
    <w:hidden/>
    <w:uiPriority w:val="99"/>
    <w:semiHidden/>
    <w:rsid w:val="00355589"/>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uiPriority="39" w:unhideWhenUsed="0"/>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eastAsia="黑体"/>
      <w:bCs/>
      <w:kern w:val="44"/>
      <w:sz w:val="30"/>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libri Light" w:eastAsia="黑体" w:hAnsi="Calibri Light"/>
      <w:bCs/>
      <w:kern w:val="0"/>
      <w:sz w:val="28"/>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kern w:val="0"/>
      <w:sz w:val="32"/>
      <w:szCs w:val="32"/>
    </w:rPr>
  </w:style>
  <w:style w:type="paragraph" w:styleId="4">
    <w:name w:val="heading 4"/>
    <w:basedOn w:val="a"/>
    <w:next w:val="a"/>
    <w:link w:val="4Char"/>
    <w:uiPriority w:val="9"/>
    <w:unhideWhenUsed/>
    <w:qFormat/>
    <w:pPr>
      <w:keepNext/>
      <w:widowControl/>
      <w:spacing w:before="240" w:after="60"/>
      <w:jc w:val="left"/>
      <w:outlineLvl w:val="3"/>
    </w:pPr>
    <w:rPr>
      <w:rFonts w:ascii="Calibri" w:hAnsi="Calibri"/>
      <w:b/>
      <w:bCs/>
      <w:kern w:val="0"/>
      <w:sz w:val="28"/>
      <w:szCs w:val="28"/>
    </w:rPr>
  </w:style>
  <w:style w:type="paragraph" w:styleId="5">
    <w:name w:val="heading 5"/>
    <w:basedOn w:val="a"/>
    <w:next w:val="a"/>
    <w:link w:val="5Char"/>
    <w:uiPriority w:val="9"/>
    <w:unhideWhenUsed/>
    <w:qFormat/>
    <w:pPr>
      <w:widowControl/>
      <w:spacing w:before="240" w:after="60"/>
      <w:jc w:val="left"/>
      <w:outlineLvl w:val="4"/>
    </w:pPr>
    <w:rPr>
      <w:rFonts w:ascii="Calibri" w:hAnsi="Calibri"/>
      <w:b/>
      <w:bCs/>
      <w:i/>
      <w:iCs/>
      <w:kern w:val="0"/>
      <w:sz w:val="26"/>
      <w:szCs w:val="26"/>
    </w:rPr>
  </w:style>
  <w:style w:type="paragraph" w:styleId="6">
    <w:name w:val="heading 6"/>
    <w:basedOn w:val="a"/>
    <w:next w:val="a"/>
    <w:link w:val="6Char"/>
    <w:uiPriority w:val="9"/>
    <w:unhideWhenUsed/>
    <w:qFormat/>
    <w:pPr>
      <w:widowControl/>
      <w:spacing w:before="240" w:after="60"/>
      <w:jc w:val="left"/>
      <w:outlineLvl w:val="5"/>
    </w:pPr>
    <w:rPr>
      <w:rFonts w:ascii="Calibri" w:hAnsi="Calibri"/>
      <w:b/>
      <w:bCs/>
      <w:kern w:val="0"/>
      <w:sz w:val="22"/>
      <w:szCs w:val="20"/>
    </w:rPr>
  </w:style>
  <w:style w:type="paragraph" w:styleId="7">
    <w:name w:val="heading 7"/>
    <w:basedOn w:val="a"/>
    <w:next w:val="a"/>
    <w:link w:val="7Char"/>
    <w:uiPriority w:val="9"/>
    <w:unhideWhenUsed/>
    <w:qFormat/>
    <w:pPr>
      <w:widowControl/>
      <w:spacing w:before="240" w:after="60"/>
      <w:jc w:val="left"/>
      <w:outlineLvl w:val="6"/>
    </w:pPr>
    <w:rPr>
      <w:rFonts w:ascii="Calibri" w:hAnsi="Calibri"/>
      <w:kern w:val="0"/>
      <w:sz w:val="24"/>
    </w:rPr>
  </w:style>
  <w:style w:type="paragraph" w:styleId="8">
    <w:name w:val="heading 8"/>
    <w:basedOn w:val="a"/>
    <w:next w:val="a"/>
    <w:link w:val="8Char"/>
    <w:uiPriority w:val="9"/>
    <w:unhideWhenUsed/>
    <w:qFormat/>
    <w:pPr>
      <w:widowControl/>
      <w:spacing w:before="240" w:after="60"/>
      <w:jc w:val="left"/>
      <w:outlineLvl w:val="7"/>
    </w:pPr>
    <w:rPr>
      <w:rFonts w:ascii="Calibri" w:hAnsi="Calibri"/>
      <w:i/>
      <w:iCs/>
      <w:kern w:val="0"/>
      <w:sz w:val="24"/>
    </w:rPr>
  </w:style>
  <w:style w:type="paragraph" w:styleId="9">
    <w:name w:val="heading 9"/>
    <w:basedOn w:val="a"/>
    <w:next w:val="a"/>
    <w:link w:val="9Char"/>
    <w:uiPriority w:val="9"/>
    <w:unhideWhenUsed/>
    <w:qFormat/>
    <w:pPr>
      <w:widowControl/>
      <w:spacing w:before="240" w:after="60"/>
      <w:jc w:val="left"/>
      <w:outlineLvl w:val="8"/>
    </w:pPr>
    <w:rPr>
      <w:rFonts w:ascii="Calibri Light" w:hAnsi="Calibri Light"/>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rPr>
      <w:rFonts w:ascii="Times New Roman" w:eastAsia="黑体" w:hAnsi="Times New Roman" w:cs="Times New Roman"/>
      <w:bCs/>
      <w:kern w:val="44"/>
      <w:sz w:val="30"/>
      <w:szCs w:val="44"/>
    </w:rPr>
  </w:style>
  <w:style w:type="character" w:customStyle="1" w:styleId="2Char">
    <w:name w:val="标题 2 Char"/>
    <w:link w:val="2"/>
    <w:uiPriority w:val="9"/>
    <w:qFormat/>
    <w:rPr>
      <w:rFonts w:ascii="Calibri Light" w:eastAsia="黑体" w:hAnsi="Calibri Light" w:cs="Times New Roman"/>
      <w:bCs/>
      <w:sz w:val="28"/>
      <w:szCs w:val="32"/>
    </w:rPr>
  </w:style>
  <w:style w:type="character" w:customStyle="1" w:styleId="3Char">
    <w:name w:val="标题 3 Char"/>
    <w:link w:val="3"/>
    <w:uiPriority w:val="9"/>
    <w:qFormat/>
    <w:rPr>
      <w:rFonts w:ascii="Times New Roman" w:eastAsia="宋体" w:hAnsi="Times New Roman" w:cs="Times New Roman"/>
      <w:b/>
      <w:bCs/>
      <w:sz w:val="32"/>
      <w:szCs w:val="32"/>
    </w:rPr>
  </w:style>
  <w:style w:type="character" w:customStyle="1" w:styleId="4Char">
    <w:name w:val="标题 4 Char"/>
    <w:link w:val="4"/>
    <w:uiPriority w:val="9"/>
    <w:qFormat/>
    <w:rPr>
      <w:rFonts w:cs="Times New Roman"/>
      <w:b/>
      <w:bCs/>
      <w:kern w:val="0"/>
      <w:sz w:val="28"/>
      <w:szCs w:val="28"/>
    </w:rPr>
  </w:style>
  <w:style w:type="character" w:customStyle="1" w:styleId="5Char">
    <w:name w:val="标题 5 Char"/>
    <w:link w:val="5"/>
    <w:uiPriority w:val="9"/>
    <w:qFormat/>
    <w:rPr>
      <w:rFonts w:cs="Times New Roman"/>
      <w:b/>
      <w:bCs/>
      <w:i/>
      <w:iCs/>
      <w:kern w:val="0"/>
      <w:sz w:val="26"/>
      <w:szCs w:val="26"/>
    </w:rPr>
  </w:style>
  <w:style w:type="character" w:customStyle="1" w:styleId="6Char">
    <w:name w:val="标题 6 Char"/>
    <w:link w:val="6"/>
    <w:uiPriority w:val="9"/>
    <w:qFormat/>
    <w:rPr>
      <w:rFonts w:cs="Times New Roman"/>
      <w:b/>
      <w:bCs/>
      <w:kern w:val="0"/>
      <w:sz w:val="22"/>
    </w:rPr>
  </w:style>
  <w:style w:type="character" w:customStyle="1" w:styleId="7Char">
    <w:name w:val="标题 7 Char"/>
    <w:link w:val="7"/>
    <w:uiPriority w:val="9"/>
    <w:qFormat/>
    <w:rPr>
      <w:rFonts w:cs="Times New Roman"/>
      <w:kern w:val="0"/>
      <w:sz w:val="24"/>
      <w:szCs w:val="24"/>
    </w:rPr>
  </w:style>
  <w:style w:type="character" w:customStyle="1" w:styleId="8Char">
    <w:name w:val="标题 8 Char"/>
    <w:link w:val="8"/>
    <w:uiPriority w:val="9"/>
    <w:qFormat/>
    <w:rPr>
      <w:rFonts w:cs="Times New Roman"/>
      <w:i/>
      <w:iCs/>
      <w:kern w:val="0"/>
      <w:sz w:val="24"/>
      <w:szCs w:val="24"/>
    </w:rPr>
  </w:style>
  <w:style w:type="character" w:customStyle="1" w:styleId="9Char">
    <w:name w:val="标题 9 Char"/>
    <w:link w:val="9"/>
    <w:uiPriority w:val="9"/>
    <w:qFormat/>
    <w:rPr>
      <w:rFonts w:ascii="Calibri Light" w:eastAsia="宋体" w:hAnsi="Calibri Light" w:cs="Times New Roman"/>
      <w:kern w:val="0"/>
      <w:sz w:val="22"/>
    </w:rPr>
  </w:style>
  <w:style w:type="paragraph" w:styleId="70">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3">
    <w:name w:val="Normal Indent"/>
    <w:basedOn w:val="a"/>
    <w:uiPriority w:val="99"/>
    <w:semiHidden/>
    <w:unhideWhenUsed/>
    <w:qFormat/>
    <w:pPr>
      <w:widowControl/>
      <w:ind w:firstLineChars="200" w:firstLine="420"/>
      <w:jc w:val="left"/>
    </w:pPr>
    <w:rPr>
      <w:rFonts w:ascii="Calibri" w:hAnsi="Calibri"/>
      <w:kern w:val="0"/>
      <w:sz w:val="24"/>
    </w:rPr>
  </w:style>
  <w:style w:type="paragraph" w:styleId="a4">
    <w:name w:val="caption"/>
    <w:basedOn w:val="a"/>
    <w:next w:val="a"/>
    <w:uiPriority w:val="35"/>
    <w:unhideWhenUsed/>
    <w:qFormat/>
    <w:pPr>
      <w:spacing w:line="400" w:lineRule="atLeast"/>
      <w:ind w:firstLineChars="200" w:firstLine="560"/>
      <w:jc w:val="left"/>
    </w:pPr>
    <w:rPr>
      <w:rFonts w:ascii="Calibri Light" w:eastAsia="黑体" w:hAnsi="Calibri Light"/>
      <w:sz w:val="20"/>
      <w:szCs w:val="20"/>
    </w:rPr>
  </w:style>
  <w:style w:type="paragraph" w:styleId="a5">
    <w:name w:val="Document Map"/>
    <w:basedOn w:val="a"/>
    <w:link w:val="Char"/>
    <w:uiPriority w:val="99"/>
    <w:unhideWhenUsed/>
    <w:qFormat/>
    <w:rPr>
      <w:rFonts w:ascii="宋体" w:hAnsi="Calibri"/>
      <w:sz w:val="18"/>
      <w:szCs w:val="18"/>
    </w:rPr>
  </w:style>
  <w:style w:type="character" w:customStyle="1" w:styleId="Char">
    <w:name w:val="文档结构图 Char"/>
    <w:link w:val="a5"/>
    <w:uiPriority w:val="99"/>
    <w:rPr>
      <w:rFonts w:ascii="宋体"/>
      <w:kern w:val="2"/>
      <w:sz w:val="18"/>
      <w:szCs w:val="18"/>
    </w:rPr>
  </w:style>
  <w:style w:type="paragraph" w:styleId="a6">
    <w:name w:val="annotation text"/>
    <w:basedOn w:val="a"/>
    <w:link w:val="Char0"/>
    <w:uiPriority w:val="99"/>
    <w:unhideWhenUsed/>
    <w:qFormat/>
    <w:pPr>
      <w:widowControl/>
      <w:jc w:val="left"/>
    </w:pPr>
    <w:rPr>
      <w:rFonts w:ascii="Calibri" w:hAnsi="Calibri"/>
      <w:kern w:val="0"/>
      <w:sz w:val="24"/>
    </w:rPr>
  </w:style>
  <w:style w:type="character" w:customStyle="1" w:styleId="Char0">
    <w:name w:val="批注文字 Char"/>
    <w:link w:val="a6"/>
    <w:uiPriority w:val="99"/>
    <w:semiHidden/>
    <w:qFormat/>
    <w:rPr>
      <w:rFonts w:cs="Times New Roman"/>
      <w:kern w:val="0"/>
      <w:sz w:val="24"/>
      <w:szCs w:val="24"/>
    </w:rPr>
  </w:style>
  <w:style w:type="paragraph" w:styleId="a7">
    <w:name w:val="Body Text"/>
    <w:basedOn w:val="a"/>
    <w:link w:val="Char1"/>
    <w:qFormat/>
    <w:pPr>
      <w:widowControl/>
      <w:jc w:val="left"/>
    </w:pPr>
    <w:rPr>
      <w:rFonts w:ascii="幼圆" w:eastAsia="幼圆" w:hAnsi="Calibri"/>
      <w:kern w:val="0"/>
      <w:sz w:val="15"/>
      <w:szCs w:val="20"/>
    </w:rPr>
  </w:style>
  <w:style w:type="character" w:customStyle="1" w:styleId="Char1">
    <w:name w:val="正文文本 Char"/>
    <w:link w:val="a7"/>
    <w:qFormat/>
    <w:rPr>
      <w:rFonts w:ascii="幼圆" w:eastAsia="幼圆" w:cs="Times New Roman"/>
      <w:kern w:val="0"/>
      <w:sz w:val="15"/>
      <w:szCs w:val="20"/>
    </w:rPr>
  </w:style>
  <w:style w:type="paragraph" w:styleId="50">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qFormat/>
    <w:pPr>
      <w:ind w:leftChars="400" w:left="840"/>
    </w:pPr>
    <w:rPr>
      <w:rFonts w:ascii="Calibri" w:hAnsi="Calibri"/>
      <w:szCs w:val="22"/>
    </w:rPr>
  </w:style>
  <w:style w:type="paragraph" w:styleId="80">
    <w:name w:val="toc 8"/>
    <w:basedOn w:val="a"/>
    <w:next w:val="a"/>
    <w:uiPriority w:val="39"/>
    <w:unhideWhenUsed/>
    <w:pPr>
      <w:ind w:leftChars="1400" w:left="2940"/>
    </w:pPr>
    <w:rPr>
      <w:rFonts w:asciiTheme="minorHAnsi" w:eastAsiaTheme="minorEastAsia" w:hAnsiTheme="minorHAnsi" w:cstheme="minorBidi"/>
      <w:szCs w:val="22"/>
    </w:rPr>
  </w:style>
  <w:style w:type="paragraph" w:styleId="a8">
    <w:name w:val="Balloon Text"/>
    <w:basedOn w:val="a"/>
    <w:link w:val="Char2"/>
    <w:uiPriority w:val="99"/>
    <w:unhideWhenUsed/>
    <w:qFormat/>
    <w:rPr>
      <w:kern w:val="0"/>
      <w:sz w:val="18"/>
      <w:szCs w:val="18"/>
    </w:rPr>
  </w:style>
  <w:style w:type="character" w:customStyle="1" w:styleId="Char2">
    <w:name w:val="批注框文本 Char"/>
    <w:link w:val="a8"/>
    <w:uiPriority w:val="99"/>
    <w:semiHidden/>
    <w:qFormat/>
    <w:rPr>
      <w:rFonts w:ascii="Times New Roman" w:eastAsia="宋体" w:hAnsi="Times New Roman" w:cs="Times New Roman"/>
      <w:sz w:val="18"/>
      <w:szCs w:val="18"/>
    </w:rPr>
  </w:style>
  <w:style w:type="paragraph" w:styleId="a9">
    <w:name w:val="footer"/>
    <w:basedOn w:val="a"/>
    <w:link w:val="Char3"/>
    <w:uiPriority w:val="99"/>
    <w:unhideWhenUsed/>
    <w:qFormat/>
    <w:pPr>
      <w:tabs>
        <w:tab w:val="center" w:pos="4153"/>
        <w:tab w:val="right" w:pos="8306"/>
      </w:tabs>
      <w:snapToGrid w:val="0"/>
      <w:jc w:val="left"/>
    </w:pPr>
    <w:rPr>
      <w:kern w:val="0"/>
      <w:sz w:val="18"/>
      <w:szCs w:val="18"/>
    </w:rPr>
  </w:style>
  <w:style w:type="character" w:customStyle="1" w:styleId="Char3">
    <w:name w:val="页脚 Char"/>
    <w:link w:val="a9"/>
    <w:uiPriority w:val="99"/>
    <w:qFormat/>
    <w:rPr>
      <w:rFonts w:ascii="Times New Roman" w:eastAsia="宋体" w:hAnsi="Times New Roman" w:cs="Times New Roman"/>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Char4">
    <w:name w:val="页眉 Char"/>
    <w:link w:val="aa"/>
    <w:uiPriority w:val="99"/>
    <w:qFormat/>
    <w:rPr>
      <w:rFonts w:ascii="Times New Roman" w:eastAsia="宋体" w:hAnsi="Times New Roman" w:cs="Times New Roman"/>
      <w:sz w:val="18"/>
      <w:szCs w:val="18"/>
    </w:rPr>
  </w:style>
  <w:style w:type="paragraph" w:styleId="10">
    <w:name w:val="toc 1"/>
    <w:basedOn w:val="a"/>
    <w:next w:val="a"/>
    <w:uiPriority w:val="39"/>
    <w:unhideWhenUsed/>
    <w:qFormat/>
  </w:style>
  <w:style w:type="paragraph" w:styleId="40">
    <w:name w:val="toc 4"/>
    <w:basedOn w:val="a"/>
    <w:next w:val="a"/>
    <w:uiPriority w:val="39"/>
    <w:unhideWhenUsed/>
    <w:pPr>
      <w:ind w:leftChars="600" w:left="1260"/>
    </w:pPr>
    <w:rPr>
      <w:rFonts w:asciiTheme="minorHAnsi" w:eastAsiaTheme="minorEastAsia" w:hAnsiTheme="minorHAnsi" w:cstheme="minorBidi"/>
      <w:szCs w:val="22"/>
    </w:rPr>
  </w:style>
  <w:style w:type="paragraph" w:styleId="ab">
    <w:name w:val="Subtitle"/>
    <w:basedOn w:val="a"/>
    <w:next w:val="a"/>
    <w:link w:val="Char5"/>
    <w:uiPriority w:val="11"/>
    <w:qFormat/>
    <w:pPr>
      <w:widowControl/>
      <w:spacing w:after="60"/>
      <w:jc w:val="center"/>
      <w:outlineLvl w:val="1"/>
    </w:pPr>
    <w:rPr>
      <w:rFonts w:ascii="Calibri Light" w:hAnsi="Calibri Light"/>
      <w:kern w:val="0"/>
      <w:sz w:val="24"/>
    </w:rPr>
  </w:style>
  <w:style w:type="character" w:customStyle="1" w:styleId="Char5">
    <w:name w:val="副标题 Char"/>
    <w:link w:val="ab"/>
    <w:uiPriority w:val="11"/>
    <w:qFormat/>
    <w:rPr>
      <w:rFonts w:ascii="Calibri Light" w:eastAsia="宋体" w:hAnsi="Calibri Light" w:cs="Times New Roman"/>
      <w:kern w:val="0"/>
      <w:sz w:val="24"/>
      <w:szCs w:val="24"/>
    </w:rPr>
  </w:style>
  <w:style w:type="paragraph" w:styleId="60">
    <w:name w:val="toc 6"/>
    <w:basedOn w:val="a"/>
    <w:next w:val="a"/>
    <w:uiPriority w:val="39"/>
    <w:unhideWhenUsed/>
    <w:pPr>
      <w:ind w:leftChars="1000" w:left="2100"/>
    </w:pPr>
    <w:rPr>
      <w:rFonts w:asciiTheme="minorHAnsi" w:eastAsiaTheme="minorEastAsia" w:hAnsiTheme="minorHAnsi" w:cstheme="minorBidi"/>
      <w:szCs w:val="22"/>
    </w:rPr>
  </w:style>
  <w:style w:type="paragraph" w:styleId="20">
    <w:name w:val="toc 2"/>
    <w:basedOn w:val="a"/>
    <w:next w:val="a"/>
    <w:uiPriority w:val="39"/>
    <w:unhideWhenUsed/>
    <w:qFormat/>
    <w:pPr>
      <w:ind w:leftChars="200" w:left="420"/>
    </w:pPr>
  </w:style>
  <w:style w:type="paragraph" w:styleId="90">
    <w:name w:val="toc 9"/>
    <w:basedOn w:val="a"/>
    <w:next w:val="a"/>
    <w:uiPriority w:val="39"/>
    <w:unhideWhenUsed/>
    <w:pPr>
      <w:ind w:leftChars="1600" w:left="3360"/>
    </w:pPr>
    <w:rPr>
      <w:rFonts w:asciiTheme="minorHAnsi" w:eastAsiaTheme="minorEastAsia" w:hAnsiTheme="minorHAnsi" w:cstheme="minorBidi"/>
      <w:szCs w:val="22"/>
    </w:rPr>
  </w:style>
  <w:style w:type="paragraph" w:styleId="ac">
    <w:name w:val="Normal (Web)"/>
    <w:basedOn w:val="a"/>
    <w:uiPriority w:val="39"/>
    <w:pPr>
      <w:widowControl/>
      <w:spacing w:before="100" w:beforeAutospacing="1" w:after="100" w:afterAutospacing="1"/>
      <w:jc w:val="left"/>
    </w:pPr>
    <w:rPr>
      <w:rFonts w:ascii="宋体" w:hAnsi="宋体" w:cs="宋体"/>
      <w:kern w:val="0"/>
      <w:sz w:val="24"/>
    </w:rPr>
  </w:style>
  <w:style w:type="paragraph" w:styleId="ad">
    <w:name w:val="Title"/>
    <w:basedOn w:val="a"/>
    <w:next w:val="a"/>
    <w:link w:val="Char6"/>
    <w:uiPriority w:val="10"/>
    <w:qFormat/>
    <w:pPr>
      <w:spacing w:before="240" w:after="60"/>
      <w:jc w:val="center"/>
      <w:outlineLvl w:val="0"/>
    </w:pPr>
    <w:rPr>
      <w:rFonts w:ascii="Calibri Light" w:eastAsia="黑体" w:hAnsi="Calibri Light"/>
      <w:bCs/>
      <w:kern w:val="0"/>
      <w:sz w:val="30"/>
      <w:szCs w:val="32"/>
    </w:rPr>
  </w:style>
  <w:style w:type="character" w:customStyle="1" w:styleId="Char6">
    <w:name w:val="标题 Char"/>
    <w:link w:val="ad"/>
    <w:uiPriority w:val="10"/>
    <w:qFormat/>
    <w:rPr>
      <w:rFonts w:ascii="Calibri Light" w:eastAsia="黑体" w:hAnsi="Calibri Light" w:cs="Times New Roman"/>
      <w:bCs/>
      <w:sz w:val="30"/>
      <w:szCs w:val="32"/>
    </w:rPr>
  </w:style>
  <w:style w:type="paragraph" w:styleId="ae">
    <w:name w:val="annotation subject"/>
    <w:basedOn w:val="a6"/>
    <w:next w:val="a6"/>
    <w:link w:val="Char7"/>
    <w:uiPriority w:val="99"/>
    <w:unhideWhenUsed/>
    <w:qFormat/>
    <w:rPr>
      <w:b/>
      <w:bCs/>
    </w:rPr>
  </w:style>
  <w:style w:type="character" w:customStyle="1" w:styleId="Char7">
    <w:name w:val="批注主题 Char"/>
    <w:link w:val="ae"/>
    <w:uiPriority w:val="99"/>
    <w:semiHidden/>
    <w:qFormat/>
    <w:rPr>
      <w:rFonts w:cs="Times New Roman"/>
      <w:b/>
      <w:bCs/>
      <w:kern w:val="0"/>
      <w:sz w:val="24"/>
      <w:szCs w:val="24"/>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uiPriority w:val="20"/>
    <w:qFormat/>
    <w:rPr>
      <w:rFonts w:ascii="Calibri" w:hAnsi="Calibri"/>
      <w:b/>
      <w:i/>
      <w:iCs/>
    </w:rPr>
  </w:style>
  <w:style w:type="character" w:styleId="af2">
    <w:name w:val="Hyperlink"/>
    <w:uiPriority w:val="99"/>
    <w:unhideWhenUsed/>
    <w:qFormat/>
    <w:rPr>
      <w:color w:val="0563C1"/>
      <w:u w:val="single"/>
    </w:rPr>
  </w:style>
  <w:style w:type="character" w:styleId="af3">
    <w:name w:val="annotation reference"/>
    <w:basedOn w:val="a0"/>
    <w:uiPriority w:val="99"/>
    <w:unhideWhenUsed/>
    <w:qFormat/>
    <w:rPr>
      <w:sz w:val="21"/>
      <w:szCs w:val="21"/>
    </w:rPr>
  </w:style>
  <w:style w:type="paragraph" w:customStyle="1" w:styleId="71">
    <w:name w:val="目录 71"/>
    <w:basedOn w:val="a"/>
    <w:next w:val="a"/>
    <w:uiPriority w:val="39"/>
    <w:unhideWhenUsed/>
    <w:qFormat/>
    <w:pPr>
      <w:ind w:leftChars="1200" w:left="2520"/>
    </w:pPr>
    <w:rPr>
      <w:rFonts w:ascii="Calibri" w:hAnsi="Calibri"/>
      <w:szCs w:val="22"/>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31">
    <w:name w:val="目录 31"/>
    <w:basedOn w:val="a"/>
    <w:next w:val="a"/>
    <w:uiPriority w:val="39"/>
    <w:unhideWhenUsed/>
    <w:qFormat/>
    <w:pPr>
      <w:widowControl/>
      <w:tabs>
        <w:tab w:val="right" w:leader="dot" w:pos="8777"/>
      </w:tabs>
      <w:spacing w:after="100" w:line="259" w:lineRule="auto"/>
      <w:ind w:left="440"/>
      <w:jc w:val="left"/>
    </w:pPr>
    <w:rPr>
      <w:b/>
      <w:kern w:val="0"/>
      <w:sz w:val="24"/>
    </w:rPr>
  </w:style>
  <w:style w:type="paragraph" w:customStyle="1" w:styleId="81">
    <w:name w:val="目录 81"/>
    <w:basedOn w:val="a"/>
    <w:next w:val="a"/>
    <w:uiPriority w:val="39"/>
    <w:unhideWhenUsed/>
    <w:qFormat/>
    <w:pPr>
      <w:ind w:leftChars="1400" w:left="2940"/>
    </w:pPr>
    <w:rPr>
      <w:rFonts w:ascii="Calibri" w:hAnsi="Calibri"/>
      <w:szCs w:val="22"/>
    </w:rPr>
  </w:style>
  <w:style w:type="paragraph" w:customStyle="1" w:styleId="11">
    <w:name w:val="目录 11"/>
    <w:basedOn w:val="a"/>
    <w:next w:val="a"/>
    <w:uiPriority w:val="39"/>
    <w:unhideWhenUsed/>
    <w:qFormat/>
    <w:pPr>
      <w:widowControl/>
      <w:tabs>
        <w:tab w:val="right" w:leader="dot" w:pos="8777"/>
      </w:tabs>
      <w:spacing w:after="100" w:line="259" w:lineRule="auto"/>
      <w:jc w:val="left"/>
    </w:pPr>
    <w:rPr>
      <w:b/>
      <w:kern w:val="0"/>
      <w:sz w:val="24"/>
    </w:r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61">
    <w:name w:val="目录 61"/>
    <w:basedOn w:val="a"/>
    <w:next w:val="a"/>
    <w:uiPriority w:val="39"/>
    <w:unhideWhenUsed/>
    <w:qFormat/>
    <w:pPr>
      <w:ind w:leftChars="1000" w:left="2100"/>
    </w:pPr>
    <w:rPr>
      <w:rFonts w:ascii="Calibri" w:hAnsi="Calibri"/>
      <w:szCs w:val="22"/>
    </w:rPr>
  </w:style>
  <w:style w:type="paragraph" w:customStyle="1" w:styleId="21">
    <w:name w:val="目录 21"/>
    <w:basedOn w:val="a"/>
    <w:next w:val="a"/>
    <w:uiPriority w:val="39"/>
    <w:unhideWhenUsed/>
    <w:qFormat/>
    <w:pPr>
      <w:widowControl/>
      <w:spacing w:after="100" w:line="259" w:lineRule="auto"/>
      <w:ind w:left="220"/>
      <w:jc w:val="left"/>
    </w:pPr>
    <w:rPr>
      <w:rFonts w:ascii="Calibri" w:hAnsi="Calibri"/>
      <w:kern w:val="0"/>
      <w:sz w:val="22"/>
      <w:szCs w:val="22"/>
    </w:rPr>
  </w:style>
  <w:style w:type="paragraph" w:customStyle="1" w:styleId="91">
    <w:name w:val="目录 91"/>
    <w:basedOn w:val="a"/>
    <w:next w:val="a"/>
    <w:uiPriority w:val="39"/>
    <w:unhideWhenUsed/>
    <w:qFormat/>
    <w:pPr>
      <w:ind w:leftChars="1600" w:left="3360"/>
    </w:pPr>
    <w:rPr>
      <w:rFonts w:ascii="Calibri" w:hAnsi="Calibri"/>
      <w:szCs w:val="22"/>
    </w:rPr>
  </w:style>
  <w:style w:type="paragraph" w:customStyle="1" w:styleId="12">
    <w:name w:val="列表段落1"/>
    <w:basedOn w:val="a"/>
    <w:link w:val="af4"/>
    <w:uiPriority w:val="34"/>
    <w:qFormat/>
    <w:pPr>
      <w:ind w:firstLineChars="200" w:firstLine="420"/>
    </w:pPr>
    <w:rPr>
      <w:kern w:val="0"/>
      <w:sz w:val="20"/>
    </w:rPr>
  </w:style>
  <w:style w:type="character" w:customStyle="1" w:styleId="af4">
    <w:name w:val="列表段落 字符"/>
    <w:link w:val="12"/>
    <w:uiPriority w:val="34"/>
    <w:qFormat/>
    <w:rPr>
      <w:rFonts w:ascii="Times New Roman" w:eastAsia="宋体" w:hAnsi="Times New Roman" w:cs="Times New Roman"/>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eastAsia="宋体" w:hAnsi="Calibri Light"/>
      <w:b/>
      <w:bCs w:val="0"/>
      <w:color w:val="2E74B5"/>
      <w:kern w:val="0"/>
      <w:sz w:val="32"/>
      <w:szCs w:val="32"/>
    </w:rPr>
  </w:style>
  <w:style w:type="paragraph" w:styleId="af5">
    <w:name w:val="No Spacing"/>
    <w:next w:val="a"/>
    <w:link w:val="Char8"/>
    <w:uiPriority w:val="1"/>
    <w:qFormat/>
    <w:pPr>
      <w:widowControl w:val="0"/>
      <w:spacing w:line="300" w:lineRule="auto"/>
      <w:jc w:val="both"/>
    </w:pPr>
    <w:rPr>
      <w:rFonts w:ascii="Times New Roman" w:eastAsia="宋体" w:hAnsi="Times New Roman" w:cs="Times New Roman"/>
      <w:sz w:val="24"/>
      <w:szCs w:val="24"/>
    </w:rPr>
  </w:style>
  <w:style w:type="character" w:customStyle="1" w:styleId="Char8">
    <w:name w:val="无间隔 Char"/>
    <w:link w:val="af5"/>
    <w:uiPriority w:val="1"/>
    <w:qFormat/>
    <w:rPr>
      <w:rFonts w:ascii="Times New Roman" w:hAnsi="Times New Roman"/>
      <w:sz w:val="24"/>
      <w:szCs w:val="24"/>
      <w:lang w:bidi="ar-SA"/>
    </w:rPr>
  </w:style>
  <w:style w:type="character" w:customStyle="1" w:styleId="af6">
    <w:name w:val="论文正文"/>
    <w:uiPriority w:val="99"/>
    <w:qFormat/>
    <w:rPr>
      <w:rFonts w:ascii="宋体" w:eastAsia="宋体" w:hAnsi="宋体" w:cs="Times New Roman"/>
      <w:kern w:val="0"/>
      <w:sz w:val="21"/>
    </w:rPr>
  </w:style>
  <w:style w:type="paragraph" w:customStyle="1" w:styleId="af7">
    <w:name w:val="论文表格图形名字样式"/>
    <w:basedOn w:val="a"/>
    <w:uiPriority w:val="99"/>
    <w:qFormat/>
    <w:pPr>
      <w:spacing w:line="300" w:lineRule="auto"/>
      <w:ind w:firstLineChars="200" w:firstLine="361"/>
      <w:jc w:val="center"/>
    </w:pPr>
    <w:rPr>
      <w:rFonts w:ascii="黑体" w:eastAsia="黑体" w:hAnsi="黑体" w:cs="宋体"/>
      <w:b/>
      <w:bCs/>
      <w:kern w:val="0"/>
      <w:sz w:val="18"/>
      <w:szCs w:val="20"/>
    </w:rPr>
  </w:style>
  <w:style w:type="paragraph" w:customStyle="1" w:styleId="zw">
    <w:name w:val="zw"/>
    <w:basedOn w:val="a"/>
    <w:qFormat/>
    <w:pPr>
      <w:adjustRightInd w:val="0"/>
      <w:spacing w:line="360" w:lineRule="auto"/>
      <w:ind w:firstLine="482"/>
      <w:textAlignment w:val="baseline"/>
    </w:pPr>
    <w:rPr>
      <w:rFonts w:ascii="Arial Narrow" w:eastAsia="楷体_GB2312" w:hAnsi="Arial Narrow"/>
      <w:kern w:val="0"/>
      <w:sz w:val="24"/>
      <w:szCs w:val="20"/>
    </w:rPr>
  </w:style>
  <w:style w:type="paragraph" w:customStyle="1" w:styleId="42">
    <w:name w:val="招股书4级标题"/>
    <w:next w:val="a"/>
    <w:uiPriority w:val="99"/>
    <w:qFormat/>
    <w:pPr>
      <w:keepNext/>
      <w:adjustRightInd w:val="0"/>
      <w:spacing w:line="360" w:lineRule="auto"/>
      <w:ind w:firstLineChars="200" w:firstLine="200"/>
      <w:outlineLvl w:val="3"/>
    </w:pPr>
    <w:rPr>
      <w:rFonts w:ascii="Calibri" w:eastAsia="宋体" w:hAnsi="Calibri" w:cs="宋体"/>
      <w:b/>
      <w:kern w:val="2"/>
      <w:sz w:val="24"/>
      <w:szCs w:val="24"/>
    </w:rPr>
  </w:style>
  <w:style w:type="paragraph" w:customStyle="1" w:styleId="1-6">
    <w:name w:val="1-6"/>
    <w:basedOn w:val="a"/>
    <w:uiPriority w:val="39"/>
    <w:qFormat/>
    <w:pPr>
      <w:widowControl/>
      <w:adjustRightInd w:val="0"/>
      <w:snapToGrid w:val="0"/>
      <w:spacing w:line="360" w:lineRule="auto"/>
      <w:ind w:firstLineChars="200" w:firstLine="480"/>
      <w:jc w:val="left"/>
    </w:pPr>
    <w:rPr>
      <w:rFonts w:ascii="Calibri" w:hAnsi="宋体"/>
      <w:kern w:val="0"/>
      <w:sz w:val="24"/>
    </w:rPr>
  </w:style>
  <w:style w:type="paragraph" w:styleId="af8">
    <w:name w:val="Quote"/>
    <w:basedOn w:val="a"/>
    <w:next w:val="a"/>
    <w:link w:val="Char9"/>
    <w:uiPriority w:val="29"/>
    <w:qFormat/>
    <w:pPr>
      <w:widowControl/>
      <w:jc w:val="left"/>
    </w:pPr>
    <w:rPr>
      <w:rFonts w:ascii="Calibri" w:hAnsi="Calibri"/>
      <w:i/>
      <w:kern w:val="0"/>
      <w:sz w:val="24"/>
    </w:rPr>
  </w:style>
  <w:style w:type="character" w:customStyle="1" w:styleId="Char9">
    <w:name w:val="引用 Char"/>
    <w:link w:val="af8"/>
    <w:uiPriority w:val="29"/>
    <w:qFormat/>
    <w:rPr>
      <w:rFonts w:cs="Times New Roman"/>
      <w:i/>
      <w:kern w:val="0"/>
      <w:sz w:val="24"/>
      <w:szCs w:val="24"/>
    </w:rPr>
  </w:style>
  <w:style w:type="paragraph" w:styleId="af9">
    <w:name w:val="Intense Quote"/>
    <w:basedOn w:val="a"/>
    <w:next w:val="a"/>
    <w:link w:val="Chara"/>
    <w:uiPriority w:val="30"/>
    <w:qFormat/>
    <w:pPr>
      <w:widowControl/>
      <w:ind w:left="720" w:right="720"/>
      <w:jc w:val="left"/>
    </w:pPr>
    <w:rPr>
      <w:rFonts w:ascii="Calibri" w:hAnsi="Calibri"/>
      <w:b/>
      <w:i/>
      <w:kern w:val="0"/>
      <w:sz w:val="24"/>
      <w:szCs w:val="20"/>
    </w:rPr>
  </w:style>
  <w:style w:type="character" w:customStyle="1" w:styleId="Chara">
    <w:name w:val="明显引用 Char"/>
    <w:link w:val="af9"/>
    <w:uiPriority w:val="30"/>
    <w:qFormat/>
    <w:rPr>
      <w:rFonts w:cs="Times New Roman"/>
      <w:b/>
      <w:i/>
      <w:kern w:val="0"/>
      <w:sz w:val="24"/>
    </w:rPr>
  </w:style>
  <w:style w:type="character" w:customStyle="1" w:styleId="13">
    <w:name w:val="不明显强调1"/>
    <w:uiPriority w:val="19"/>
    <w:qFormat/>
    <w:rPr>
      <w:i/>
      <w:color w:val="595959"/>
    </w:rPr>
  </w:style>
  <w:style w:type="character" w:customStyle="1" w:styleId="14">
    <w:name w:val="明显强调1"/>
    <w:uiPriority w:val="21"/>
    <w:qFormat/>
    <w:rPr>
      <w:b/>
      <w:i/>
      <w:sz w:val="24"/>
      <w:szCs w:val="24"/>
      <w:u w:val="single"/>
    </w:rPr>
  </w:style>
  <w:style w:type="character" w:customStyle="1" w:styleId="15">
    <w:name w:val="不明显参考1"/>
    <w:uiPriority w:val="31"/>
    <w:qFormat/>
    <w:rPr>
      <w:sz w:val="24"/>
      <w:szCs w:val="24"/>
      <w:u w:val="single"/>
    </w:rPr>
  </w:style>
  <w:style w:type="character" w:customStyle="1" w:styleId="16">
    <w:name w:val="明显参考1"/>
    <w:uiPriority w:val="32"/>
    <w:qFormat/>
    <w:rPr>
      <w:b/>
      <w:sz w:val="24"/>
      <w:u w:val="single"/>
    </w:rPr>
  </w:style>
  <w:style w:type="character" w:customStyle="1" w:styleId="17">
    <w:name w:val="书籍标题1"/>
    <w:uiPriority w:val="33"/>
    <w:qFormat/>
    <w:rPr>
      <w:rFonts w:ascii="Calibri Light" w:eastAsia="宋体" w:hAnsi="Calibri Light"/>
      <w:b/>
      <w:i/>
      <w:sz w:val="24"/>
      <w:szCs w:val="24"/>
    </w:rPr>
  </w:style>
  <w:style w:type="paragraph" w:customStyle="1" w:styleId="18">
    <w:name w:val="修订1"/>
    <w:hidden/>
    <w:uiPriority w:val="99"/>
    <w:semiHidden/>
    <w:qFormat/>
    <w:rPr>
      <w:rFonts w:ascii="Calibri" w:eastAsia="宋体" w:hAnsi="Calibri" w:cs="Times New Roman"/>
      <w:sz w:val="24"/>
      <w:szCs w:val="24"/>
    </w:rPr>
  </w:style>
  <w:style w:type="paragraph" w:customStyle="1" w:styleId="22">
    <w:name w:val="修订2"/>
    <w:hidden/>
    <w:uiPriority w:val="99"/>
    <w:semiHidden/>
    <w:rPr>
      <w:rFonts w:ascii="Times New Roman" w:eastAsia="宋体" w:hAnsi="Times New Roman" w:cs="Times New Roman"/>
      <w:kern w:val="2"/>
      <w:sz w:val="21"/>
      <w:szCs w:val="24"/>
    </w:rPr>
  </w:style>
  <w:style w:type="table" w:customStyle="1" w:styleId="19">
    <w:name w:val="网格型1"/>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link w:val="Charb"/>
    <w:uiPriority w:val="34"/>
    <w:qFormat/>
    <w:pPr>
      <w:ind w:firstLineChars="200" w:firstLine="420"/>
    </w:pPr>
  </w:style>
  <w:style w:type="character" w:customStyle="1" w:styleId="Charb">
    <w:name w:val="列出段落 Char"/>
    <w:basedOn w:val="a0"/>
    <w:link w:val="afa"/>
    <w:uiPriority w:val="34"/>
    <w:rPr>
      <w:rFonts w:ascii="Times New Roman" w:hAnsi="Times New Roman"/>
      <w:kern w:val="2"/>
      <w:sz w:val="21"/>
      <w:szCs w:val="24"/>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Calibri Light" w:eastAsia="宋体" w:hAnsi="Calibri Light"/>
      <w:b/>
      <w:bCs w:val="0"/>
      <w:color w:val="2E74B5"/>
      <w:kern w:val="0"/>
      <w:sz w:val="32"/>
      <w:szCs w:val="32"/>
    </w:rPr>
  </w:style>
  <w:style w:type="paragraph" w:customStyle="1" w:styleId="220">
    <w:name w:val="目录 22"/>
    <w:basedOn w:val="a"/>
    <w:next w:val="a"/>
    <w:uiPriority w:val="39"/>
    <w:unhideWhenUsed/>
    <w:qFormat/>
    <w:pPr>
      <w:widowControl/>
      <w:spacing w:after="100" w:line="259" w:lineRule="auto"/>
      <w:ind w:left="220"/>
      <w:jc w:val="left"/>
    </w:pPr>
    <w:rPr>
      <w:rFonts w:ascii="Calibri" w:hAnsi="Calibri"/>
      <w:kern w:val="0"/>
      <w:sz w:val="22"/>
      <w:szCs w:val="22"/>
    </w:rPr>
  </w:style>
  <w:style w:type="paragraph" w:customStyle="1" w:styleId="120">
    <w:name w:val="目录 12"/>
    <w:basedOn w:val="a"/>
    <w:next w:val="a"/>
    <w:uiPriority w:val="39"/>
    <w:unhideWhenUsed/>
    <w:qFormat/>
    <w:pPr>
      <w:widowControl/>
      <w:tabs>
        <w:tab w:val="right" w:leader="dot" w:pos="8777"/>
      </w:tabs>
      <w:spacing w:after="100" w:line="259" w:lineRule="auto"/>
      <w:jc w:val="left"/>
    </w:pPr>
    <w:rPr>
      <w:b/>
      <w:kern w:val="0"/>
      <w:sz w:val="24"/>
    </w:rPr>
  </w:style>
  <w:style w:type="paragraph" w:customStyle="1" w:styleId="32">
    <w:name w:val="目录 32"/>
    <w:basedOn w:val="a"/>
    <w:next w:val="a"/>
    <w:uiPriority w:val="39"/>
    <w:unhideWhenUsed/>
    <w:qFormat/>
    <w:pPr>
      <w:widowControl/>
      <w:tabs>
        <w:tab w:val="right" w:leader="dot" w:pos="8777"/>
      </w:tabs>
      <w:spacing w:after="100" w:line="259" w:lineRule="auto"/>
      <w:ind w:left="440"/>
      <w:jc w:val="left"/>
    </w:pPr>
    <w:rPr>
      <w:b/>
      <w:kern w:val="0"/>
      <w:sz w:val="24"/>
    </w:rPr>
  </w:style>
  <w:style w:type="character" w:customStyle="1" w:styleId="23">
    <w:name w:val="不明显强调2"/>
    <w:uiPriority w:val="19"/>
    <w:qFormat/>
    <w:rPr>
      <w:i/>
      <w:color w:val="5A5A5A"/>
    </w:rPr>
  </w:style>
  <w:style w:type="character" w:customStyle="1" w:styleId="24">
    <w:name w:val="明显强调2"/>
    <w:basedOn w:val="a0"/>
    <w:uiPriority w:val="21"/>
    <w:qFormat/>
    <w:rPr>
      <w:b/>
      <w:i/>
      <w:sz w:val="24"/>
      <w:szCs w:val="24"/>
      <w:u w:val="single"/>
    </w:rPr>
  </w:style>
  <w:style w:type="character" w:customStyle="1" w:styleId="25">
    <w:name w:val="不明显参考2"/>
    <w:basedOn w:val="a0"/>
    <w:uiPriority w:val="31"/>
    <w:qFormat/>
    <w:rPr>
      <w:sz w:val="24"/>
      <w:szCs w:val="24"/>
      <w:u w:val="single"/>
    </w:rPr>
  </w:style>
  <w:style w:type="character" w:customStyle="1" w:styleId="26">
    <w:name w:val="明显参考2"/>
    <w:basedOn w:val="a0"/>
    <w:uiPriority w:val="32"/>
    <w:qFormat/>
    <w:rPr>
      <w:b/>
      <w:sz w:val="24"/>
      <w:u w:val="single"/>
    </w:rPr>
  </w:style>
  <w:style w:type="character" w:customStyle="1" w:styleId="27">
    <w:name w:val="书籍标题2"/>
    <w:basedOn w:val="a0"/>
    <w:uiPriority w:val="33"/>
    <w:qFormat/>
    <w:rPr>
      <w:rFonts w:ascii="Calibri Light" w:eastAsia="宋体" w:hAnsi="Calibri Light"/>
      <w:b/>
      <w:i/>
      <w:sz w:val="24"/>
      <w:szCs w:val="24"/>
    </w:rPr>
  </w:style>
  <w:style w:type="paragraph" w:customStyle="1" w:styleId="420">
    <w:name w:val="目录 42"/>
    <w:basedOn w:val="a"/>
    <w:next w:val="a"/>
    <w:uiPriority w:val="39"/>
    <w:unhideWhenUsed/>
    <w:pPr>
      <w:ind w:leftChars="600" w:left="1260"/>
    </w:pPr>
    <w:rPr>
      <w:rFonts w:ascii="Calibri" w:hAnsi="Calibri"/>
      <w:szCs w:val="22"/>
    </w:rPr>
  </w:style>
  <w:style w:type="paragraph" w:customStyle="1" w:styleId="52">
    <w:name w:val="目录 52"/>
    <w:basedOn w:val="a"/>
    <w:next w:val="a"/>
    <w:uiPriority w:val="39"/>
    <w:unhideWhenUsed/>
    <w:pPr>
      <w:ind w:leftChars="800" w:left="1680"/>
    </w:pPr>
    <w:rPr>
      <w:rFonts w:ascii="Calibri" w:hAnsi="Calibri"/>
      <w:szCs w:val="22"/>
    </w:rPr>
  </w:style>
  <w:style w:type="paragraph" w:customStyle="1" w:styleId="62">
    <w:name w:val="目录 62"/>
    <w:basedOn w:val="a"/>
    <w:next w:val="a"/>
    <w:uiPriority w:val="39"/>
    <w:unhideWhenUsed/>
    <w:pPr>
      <w:ind w:leftChars="1000" w:left="2100"/>
    </w:pPr>
    <w:rPr>
      <w:rFonts w:ascii="Calibri" w:hAnsi="Calibri"/>
      <w:szCs w:val="22"/>
    </w:rPr>
  </w:style>
  <w:style w:type="paragraph" w:customStyle="1" w:styleId="72">
    <w:name w:val="目录 72"/>
    <w:basedOn w:val="a"/>
    <w:next w:val="a"/>
    <w:uiPriority w:val="39"/>
    <w:unhideWhenUsed/>
    <w:pPr>
      <w:ind w:leftChars="1200" w:left="2520"/>
    </w:pPr>
    <w:rPr>
      <w:rFonts w:ascii="Calibri" w:hAnsi="Calibri"/>
      <w:szCs w:val="22"/>
    </w:rPr>
  </w:style>
  <w:style w:type="paragraph" w:customStyle="1" w:styleId="82">
    <w:name w:val="目录 82"/>
    <w:basedOn w:val="a"/>
    <w:next w:val="a"/>
    <w:uiPriority w:val="39"/>
    <w:unhideWhenUsed/>
    <w:pPr>
      <w:ind w:leftChars="1400" w:left="2940"/>
    </w:pPr>
    <w:rPr>
      <w:rFonts w:ascii="Calibri" w:hAnsi="Calibri"/>
      <w:szCs w:val="22"/>
    </w:rPr>
  </w:style>
  <w:style w:type="paragraph" w:customStyle="1" w:styleId="92">
    <w:name w:val="目录 92"/>
    <w:basedOn w:val="a"/>
    <w:next w:val="a"/>
    <w:uiPriority w:val="39"/>
    <w:unhideWhenUsed/>
    <w:pPr>
      <w:ind w:leftChars="1600" w:left="3360"/>
    </w:pPr>
    <w:rPr>
      <w:rFonts w:ascii="Calibri" w:hAnsi="Calibri"/>
      <w:szCs w:val="22"/>
    </w:rPr>
  </w:style>
  <w:style w:type="character" w:customStyle="1" w:styleId="33">
    <w:name w:val="不明显强调3"/>
    <w:basedOn w:val="a0"/>
    <w:uiPriority w:val="19"/>
    <w:qFormat/>
    <w:rPr>
      <w:i/>
      <w:iCs/>
      <w:color w:val="7F7F7F" w:themeColor="text1" w:themeTint="80"/>
    </w:rPr>
  </w:style>
  <w:style w:type="character" w:customStyle="1" w:styleId="34">
    <w:name w:val="书籍标题3"/>
    <w:basedOn w:val="a0"/>
    <w:uiPriority w:val="33"/>
    <w:qFormat/>
    <w:rPr>
      <w:b/>
      <w:bCs/>
      <w:smallCaps/>
      <w:spacing w:val="5"/>
    </w:rPr>
  </w:style>
  <w:style w:type="paragraph" w:customStyle="1" w:styleId="TOC3">
    <w:name w:val="TOC 标题3"/>
    <w:basedOn w:val="1"/>
    <w:next w:val="a"/>
    <w:uiPriority w:val="39"/>
    <w:unhideWhenUsed/>
    <w:qFormat/>
    <w:pPr>
      <w:outlineLvl w:val="9"/>
    </w:pPr>
    <w:rPr>
      <w:rFonts w:eastAsia="宋体"/>
      <w:b/>
      <w:sz w:val="44"/>
    </w:rPr>
  </w:style>
  <w:style w:type="character" w:customStyle="1" w:styleId="Char10">
    <w:name w:val="文档结构图 Char1"/>
    <w:basedOn w:val="a0"/>
    <w:uiPriority w:val="99"/>
    <w:semiHidden/>
    <w:rPr>
      <w:rFonts w:ascii="宋体" w:hAnsi="Times New Roman"/>
      <w:kern w:val="2"/>
      <w:sz w:val="18"/>
      <w:szCs w:val="18"/>
    </w:rPr>
  </w:style>
  <w:style w:type="paragraph" w:customStyle="1" w:styleId="35">
    <w:name w:val="修订3"/>
    <w:uiPriority w:val="99"/>
    <w:semiHidden/>
    <w:rPr>
      <w:rFonts w:ascii="Calibri" w:eastAsia="宋体" w:hAnsi="Calibri" w:cs="Times New Roman"/>
      <w:kern w:val="2"/>
      <w:sz w:val="21"/>
      <w:szCs w:val="22"/>
    </w:rPr>
  </w:style>
  <w:style w:type="character" w:styleId="afb">
    <w:name w:val="FollowedHyperlink"/>
    <w:basedOn w:val="a0"/>
    <w:uiPriority w:val="99"/>
    <w:semiHidden/>
    <w:unhideWhenUsed/>
    <w:rsid w:val="009D1A8B"/>
    <w:rPr>
      <w:color w:val="800080"/>
      <w:u w:val="single"/>
    </w:rPr>
  </w:style>
  <w:style w:type="paragraph" w:customStyle="1" w:styleId="msonormal0">
    <w:name w:val="msonormal"/>
    <w:basedOn w:val="a"/>
    <w:rsid w:val="009D1A8B"/>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9D1A8B"/>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64">
    <w:name w:val="xl64"/>
    <w:basedOn w:val="a"/>
    <w:rsid w:val="009D1A8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微软雅黑" w:eastAsia="微软雅黑" w:hAnsi="微软雅黑" w:cs="宋体"/>
      <w:kern w:val="0"/>
      <w:sz w:val="18"/>
      <w:szCs w:val="18"/>
    </w:rPr>
  </w:style>
  <w:style w:type="paragraph" w:customStyle="1" w:styleId="xl65">
    <w:name w:val="xl65"/>
    <w:basedOn w:val="a"/>
    <w:rsid w:val="009D1A8B"/>
    <w:pPr>
      <w:widowControl/>
      <w:spacing w:before="100" w:beforeAutospacing="1" w:after="100" w:afterAutospacing="1"/>
      <w:jc w:val="left"/>
    </w:pPr>
    <w:rPr>
      <w:rFonts w:ascii="微软雅黑" w:eastAsia="微软雅黑" w:hAnsi="微软雅黑" w:cs="宋体"/>
      <w:b/>
      <w:bCs/>
      <w:kern w:val="0"/>
      <w:sz w:val="18"/>
      <w:szCs w:val="18"/>
    </w:rPr>
  </w:style>
  <w:style w:type="paragraph" w:customStyle="1" w:styleId="xl66">
    <w:name w:val="xl66"/>
    <w:basedOn w:val="a"/>
    <w:rsid w:val="009D1A8B"/>
    <w:pPr>
      <w:widowControl/>
      <w:spacing w:before="100" w:beforeAutospacing="1" w:after="100" w:afterAutospacing="1"/>
      <w:jc w:val="left"/>
    </w:pPr>
    <w:rPr>
      <w:rFonts w:ascii="微软雅黑" w:eastAsia="微软雅黑" w:hAnsi="微软雅黑" w:cs="宋体"/>
      <w:kern w:val="0"/>
      <w:sz w:val="18"/>
      <w:szCs w:val="18"/>
    </w:rPr>
  </w:style>
  <w:style w:type="paragraph" w:customStyle="1" w:styleId="xl67">
    <w:name w:val="xl67"/>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68">
    <w:name w:val="xl68"/>
    <w:basedOn w:val="a"/>
    <w:rsid w:val="009D1A8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微软雅黑" w:eastAsia="微软雅黑" w:hAnsi="微软雅黑" w:cs="宋体"/>
      <w:kern w:val="0"/>
      <w:sz w:val="18"/>
      <w:szCs w:val="18"/>
    </w:rPr>
  </w:style>
  <w:style w:type="paragraph" w:customStyle="1" w:styleId="xl69">
    <w:name w:val="xl69"/>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微软雅黑" w:eastAsia="微软雅黑" w:hAnsi="微软雅黑" w:cs="宋体"/>
      <w:kern w:val="0"/>
      <w:sz w:val="18"/>
      <w:szCs w:val="18"/>
    </w:rPr>
  </w:style>
  <w:style w:type="paragraph" w:customStyle="1" w:styleId="xl70">
    <w:name w:val="xl70"/>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71">
    <w:name w:val="xl71"/>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2">
    <w:name w:val="xl72"/>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3">
    <w:name w:val="xl73"/>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74">
    <w:name w:val="xl74"/>
    <w:basedOn w:val="a"/>
    <w:rsid w:val="009D1A8B"/>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75">
    <w:name w:val="xl75"/>
    <w:basedOn w:val="a"/>
    <w:rsid w:val="009D1A8B"/>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76">
    <w:name w:val="xl76"/>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paragraph" w:customStyle="1" w:styleId="xl77">
    <w:name w:val="xl77"/>
    <w:basedOn w:val="a"/>
    <w:rsid w:val="009D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78">
    <w:name w:val="xl78"/>
    <w:basedOn w:val="a"/>
    <w:rsid w:val="009D1A8B"/>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79">
    <w:name w:val="xl79"/>
    <w:basedOn w:val="a"/>
    <w:rsid w:val="009D1A8B"/>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80">
    <w:name w:val="xl80"/>
    <w:basedOn w:val="a"/>
    <w:rsid w:val="009D1A8B"/>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8"/>
      <w:szCs w:val="18"/>
    </w:rPr>
  </w:style>
  <w:style w:type="paragraph" w:customStyle="1" w:styleId="xl81">
    <w:name w:val="xl81"/>
    <w:basedOn w:val="a"/>
    <w:rsid w:val="009D1A8B"/>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left"/>
    </w:pPr>
    <w:rPr>
      <w:rFonts w:ascii="微软雅黑" w:eastAsia="微软雅黑" w:hAnsi="微软雅黑" w:cs="宋体"/>
      <w:kern w:val="0"/>
      <w:sz w:val="18"/>
      <w:szCs w:val="18"/>
    </w:rPr>
  </w:style>
  <w:style w:type="paragraph" w:styleId="TOC">
    <w:name w:val="TOC Heading"/>
    <w:basedOn w:val="1"/>
    <w:next w:val="a"/>
    <w:uiPriority w:val="39"/>
    <w:unhideWhenUsed/>
    <w:qFormat/>
    <w:rsid w:val="00074398"/>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afc">
    <w:name w:val="Revision"/>
    <w:hidden/>
    <w:uiPriority w:val="99"/>
    <w:semiHidden/>
    <w:rsid w:val="0035558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3972">
      <w:bodyDiv w:val="1"/>
      <w:marLeft w:val="0"/>
      <w:marRight w:val="0"/>
      <w:marTop w:val="0"/>
      <w:marBottom w:val="0"/>
      <w:divBdr>
        <w:top w:val="none" w:sz="0" w:space="0" w:color="auto"/>
        <w:left w:val="none" w:sz="0" w:space="0" w:color="auto"/>
        <w:bottom w:val="none" w:sz="0" w:space="0" w:color="auto"/>
        <w:right w:val="none" w:sz="0" w:space="0" w:color="auto"/>
      </w:divBdr>
    </w:div>
    <w:div w:id="326132100">
      <w:bodyDiv w:val="1"/>
      <w:marLeft w:val="0"/>
      <w:marRight w:val="0"/>
      <w:marTop w:val="0"/>
      <w:marBottom w:val="0"/>
      <w:divBdr>
        <w:top w:val="none" w:sz="0" w:space="0" w:color="auto"/>
        <w:left w:val="none" w:sz="0" w:space="0" w:color="auto"/>
        <w:bottom w:val="none" w:sz="0" w:space="0" w:color="auto"/>
        <w:right w:val="none" w:sz="0" w:space="0" w:color="auto"/>
      </w:divBdr>
    </w:div>
    <w:div w:id="583415138">
      <w:bodyDiv w:val="1"/>
      <w:marLeft w:val="0"/>
      <w:marRight w:val="0"/>
      <w:marTop w:val="0"/>
      <w:marBottom w:val="0"/>
      <w:divBdr>
        <w:top w:val="none" w:sz="0" w:space="0" w:color="auto"/>
        <w:left w:val="none" w:sz="0" w:space="0" w:color="auto"/>
        <w:bottom w:val="none" w:sz="0" w:space="0" w:color="auto"/>
        <w:right w:val="none" w:sz="0" w:space="0" w:color="auto"/>
      </w:divBdr>
    </w:div>
    <w:div w:id="702749705">
      <w:bodyDiv w:val="1"/>
      <w:marLeft w:val="0"/>
      <w:marRight w:val="0"/>
      <w:marTop w:val="0"/>
      <w:marBottom w:val="0"/>
      <w:divBdr>
        <w:top w:val="none" w:sz="0" w:space="0" w:color="auto"/>
        <w:left w:val="none" w:sz="0" w:space="0" w:color="auto"/>
        <w:bottom w:val="none" w:sz="0" w:space="0" w:color="auto"/>
        <w:right w:val="none" w:sz="0" w:space="0" w:color="auto"/>
      </w:divBdr>
    </w:div>
    <w:div w:id="730007296">
      <w:bodyDiv w:val="1"/>
      <w:marLeft w:val="0"/>
      <w:marRight w:val="0"/>
      <w:marTop w:val="0"/>
      <w:marBottom w:val="0"/>
      <w:divBdr>
        <w:top w:val="none" w:sz="0" w:space="0" w:color="auto"/>
        <w:left w:val="none" w:sz="0" w:space="0" w:color="auto"/>
        <w:bottom w:val="none" w:sz="0" w:space="0" w:color="auto"/>
        <w:right w:val="none" w:sz="0" w:space="0" w:color="auto"/>
      </w:divBdr>
    </w:div>
    <w:div w:id="783307157">
      <w:bodyDiv w:val="1"/>
      <w:marLeft w:val="0"/>
      <w:marRight w:val="0"/>
      <w:marTop w:val="0"/>
      <w:marBottom w:val="0"/>
      <w:divBdr>
        <w:top w:val="none" w:sz="0" w:space="0" w:color="auto"/>
        <w:left w:val="none" w:sz="0" w:space="0" w:color="auto"/>
        <w:bottom w:val="none" w:sz="0" w:space="0" w:color="auto"/>
        <w:right w:val="none" w:sz="0" w:space="0" w:color="auto"/>
      </w:divBdr>
    </w:div>
    <w:div w:id="798574659">
      <w:bodyDiv w:val="1"/>
      <w:marLeft w:val="0"/>
      <w:marRight w:val="0"/>
      <w:marTop w:val="0"/>
      <w:marBottom w:val="0"/>
      <w:divBdr>
        <w:top w:val="none" w:sz="0" w:space="0" w:color="auto"/>
        <w:left w:val="none" w:sz="0" w:space="0" w:color="auto"/>
        <w:bottom w:val="none" w:sz="0" w:space="0" w:color="auto"/>
        <w:right w:val="none" w:sz="0" w:space="0" w:color="auto"/>
      </w:divBdr>
    </w:div>
    <w:div w:id="1883711723">
      <w:bodyDiv w:val="1"/>
      <w:marLeft w:val="0"/>
      <w:marRight w:val="0"/>
      <w:marTop w:val="0"/>
      <w:marBottom w:val="0"/>
      <w:divBdr>
        <w:top w:val="none" w:sz="0" w:space="0" w:color="auto"/>
        <w:left w:val="none" w:sz="0" w:space="0" w:color="auto"/>
        <w:bottom w:val="none" w:sz="0" w:space="0" w:color="auto"/>
        <w:right w:val="none" w:sz="0" w:space="0" w:color="auto"/>
      </w:divBdr>
    </w:div>
    <w:div w:id="206170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9753D-751D-4EC4-B433-515D814A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3845</Words>
  <Characters>21917</Characters>
  <Application>Microsoft Office Word</Application>
  <DocSecurity>0</DocSecurity>
  <Lines>182</Lines>
  <Paragraphs>51</Paragraphs>
  <ScaleCrop>false</ScaleCrop>
  <Company>Microsoft</Company>
  <LinksUpToDate>false</LinksUpToDate>
  <CharactersWithSpaces>25711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韩艳</cp:lastModifiedBy>
  <cp:revision>7</cp:revision>
  <cp:lastPrinted>2019-07-15T02:27:00Z</cp:lastPrinted>
  <dcterms:created xsi:type="dcterms:W3CDTF">2019-07-15T01:59:00Z</dcterms:created>
  <dcterms:modified xsi:type="dcterms:W3CDTF">2019-07-15T02:42:00Z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